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imes New Roman"/>
          <w:b w:val="0"/>
          <w:sz w:val="22"/>
          <w:szCs w:val="24"/>
        </w:rPr>
        <w:alias w:val="ICSection"/>
        <w:tag w:val="1"/>
        <w:id w:val="-1288889193"/>
        <w:placeholder>
          <w:docPart w:val="DefaultPlaceholder_-1854013440"/>
        </w:placeholder>
        <w15:appearance w15:val="hidden"/>
      </w:sdtPr>
      <w:sdtEndPr>
        <w:rPr>
          <w:szCs w:val="22"/>
        </w:rPr>
      </w:sdtEndPr>
      <w:sdtContent>
        <w:p w:rsidR="00F841C5" w:rsidRPr="00E12D06" w:rsidRDefault="00A72B99" w:rsidP="0033493F">
          <w:pPr>
            <w:pStyle w:val="ICTOC2"/>
            <w:tabs>
              <w:tab w:val="clear" w:pos="851"/>
              <w:tab w:val="left" w:pos="709"/>
            </w:tabs>
            <w:ind w:left="709" w:hanging="709"/>
          </w:pPr>
          <w:fldSimple w:instr=" DOCVARIABLE &quot;dvItemNumberMasked&quot; \* Charformat ">
            <w:r>
              <w:t>0.0</w:t>
            </w:r>
          </w:fldSimple>
          <w:r w:rsidR="00F841C5" w:rsidRPr="00E12D06">
            <w:tab/>
          </w:r>
          <w:fldSimple w:instr=" DOCVARIABLE &quot;dvSubjectWithSoftReturns&quot; \* Charformat ">
            <w:r>
              <w:t>Planning Proposal -  Amendment of Clause 4.4 'Floor Space Ratio' - Campbelltown Local Environment Plan 2015</w:t>
            </w:r>
          </w:fldSimple>
        </w:p>
        <w:p w:rsidR="00F841C5" w:rsidRDefault="00F841C5" w:rsidP="00F960FB">
          <w:pPr>
            <w:pStyle w:val="ICHeading1"/>
            <w:spacing w:after="0"/>
          </w:pPr>
          <w:r>
            <w:t xml:space="preserve">Community Strategic Plan  </w:t>
          </w:r>
          <w:bookmarkStart w:id="1" w:name="CommunityPlan"/>
          <w:bookmarkEnd w:id="1"/>
        </w:p>
        <w:sdt>
          <w:sdtPr>
            <w:alias w:val="CommunityStrategicPlan"/>
            <w:tag w:val="CommunityStrategicPlan_LockForDelete_LockForEdit"/>
            <w:id w:val="-908926313"/>
            <w:placeholder>
              <w:docPart w:val="AAB17BF07FF54994A1317320617E5DF6"/>
            </w:placeholder>
            <w15:appearance w15:val="hidden"/>
          </w:sdtPr>
          <w:sdtEndPr/>
          <w:sdtContent>
            <w:p w:rsidR="00B94C53" w:rsidRDefault="00B94C53" w:rsidP="00B94C5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00" w:firstRow="0" w:lastRow="0" w:firstColumn="0" w:lastColumn="0" w:noHBand="0" w:noVBand="0"/>
              </w:tblPr>
              <w:tblGrid>
                <w:gridCol w:w="4643"/>
                <w:gridCol w:w="4643"/>
              </w:tblGrid>
              <w:tr w:rsidR="00B94C53" w:rsidTr="00B94C53">
                <w:tc>
                  <w:tcPr>
                    <w:tcW w:w="4643" w:type="dxa"/>
                    <w:tcBorders>
                      <w:bottom w:val="single" w:sz="4" w:space="0" w:color="auto"/>
                    </w:tcBorders>
                    <w:shd w:val="clear" w:color="auto" w:fill="BFBFBF"/>
                  </w:tcPr>
                  <w:p w:rsidR="00B94C53" w:rsidRDefault="00B94C53" w:rsidP="00B94C53">
                    <w:pPr>
                      <w:spacing w:before="60" w:after="60"/>
                      <w:jc w:val="left"/>
                    </w:pPr>
                    <w:r w:rsidRPr="00B94C53">
                      <w:rPr>
                        <w:b/>
                      </w:rPr>
                      <w:t>Objective</w:t>
                    </w:r>
                  </w:p>
                </w:tc>
                <w:tc>
                  <w:tcPr>
                    <w:tcW w:w="4643" w:type="dxa"/>
                    <w:tcBorders>
                      <w:bottom w:val="single" w:sz="4" w:space="0" w:color="auto"/>
                    </w:tcBorders>
                    <w:shd w:val="clear" w:color="auto" w:fill="BFBFBF"/>
                  </w:tcPr>
                  <w:p w:rsidR="00B94C53" w:rsidRDefault="00B94C53" w:rsidP="00B94C53">
                    <w:pPr>
                      <w:spacing w:before="60" w:after="60"/>
                      <w:jc w:val="left"/>
                    </w:pPr>
                    <w:r w:rsidRPr="00B94C53">
                      <w:rPr>
                        <w:b/>
                      </w:rPr>
                      <w:t>Strategy</w:t>
                    </w:r>
                  </w:p>
                </w:tc>
              </w:tr>
              <w:tr w:rsidR="00B94C53" w:rsidTr="00B94C53">
                <w:tc>
                  <w:tcPr>
                    <w:tcW w:w="4643" w:type="dxa"/>
                    <w:shd w:val="clear" w:color="auto" w:fill="auto"/>
                  </w:tcPr>
                  <w:p w:rsidR="00B94C53" w:rsidRPr="00B94C53" w:rsidRDefault="00B94C53" w:rsidP="00B94C53">
                    <w:pPr>
                      <w:tabs>
                        <w:tab w:val="left" w:pos="567"/>
                      </w:tabs>
                      <w:spacing w:before="60"/>
                      <w:ind w:left="567" w:hanging="567"/>
                      <w:jc w:val="left"/>
                      <w:rPr>
                        <w:b/>
                      </w:rPr>
                    </w:pPr>
                    <w:bookmarkStart w:id="2" w:name="Strategy4"/>
                    <w:bookmarkEnd w:id="2"/>
                    <w:r w:rsidRPr="00B94C53">
                      <w:t>4</w:t>
                    </w:r>
                    <w:r w:rsidRPr="00B94C53">
                      <w:tab/>
                      <w:t>Economic Prosperity</w:t>
                    </w:r>
                  </w:p>
                </w:tc>
                <w:tc>
                  <w:tcPr>
                    <w:tcW w:w="4643" w:type="dxa"/>
                    <w:shd w:val="clear" w:color="auto" w:fill="auto"/>
                  </w:tcPr>
                  <w:p w:rsidR="00B94C53" w:rsidRPr="00B94C53" w:rsidRDefault="00B94C53" w:rsidP="00B94C53">
                    <w:pPr>
                      <w:tabs>
                        <w:tab w:val="left" w:pos="567"/>
                      </w:tabs>
                      <w:spacing w:before="60"/>
                      <w:ind w:left="567" w:hanging="567"/>
                      <w:jc w:val="left"/>
                      <w:rPr>
                        <w:b/>
                      </w:rPr>
                    </w:pPr>
                    <w:r w:rsidRPr="00B94C53">
                      <w:t>4.2.1</w:t>
                    </w:r>
                    <w:r w:rsidRPr="00B94C53">
                      <w:tab/>
                      <w:t xml:space="preserve">Support the growth, productivity and diversity of the local economy </w:t>
                    </w:r>
                  </w:p>
                </w:tc>
              </w:tr>
            </w:tbl>
          </w:sdtContent>
        </w:sdt>
        <w:p w:rsidR="00B94C53" w:rsidRDefault="00B94C53" w:rsidP="00B94C53"/>
        <w:p w:rsidR="00F841C5" w:rsidRDefault="00F841C5" w:rsidP="001F547C">
          <w:pPr>
            <w:pStyle w:val="ICHeading1"/>
            <w:spacing w:before="0" w:after="0"/>
          </w:pPr>
          <w:r>
            <w:t xml:space="preserve">Delivery Program  </w:t>
          </w:r>
          <w:bookmarkStart w:id="3" w:name="DeliveryProgram"/>
          <w:bookmarkEnd w:id="3"/>
        </w:p>
        <w:sdt>
          <w:sdtPr>
            <w:alias w:val="DeliveryProgram"/>
            <w:tag w:val="DeliveryProgram_LockForDelete_LockForEdit"/>
            <w:id w:val="-1921707358"/>
            <w:placeholder>
              <w:docPart w:val="445B72EFB0B942F4A6B42CA242166047"/>
            </w:placeholder>
            <w15:appearance w15:val="hidden"/>
          </w:sdtPr>
          <w:sdtEndPr/>
          <w:sdtContent>
            <w:p w:rsidR="00B94C53" w:rsidRDefault="00B94C53" w:rsidP="00B94C53"/>
            <w:tbl>
              <w:tblPr>
                <w:tblW w:w="9286" w:type="dxa"/>
                <w:tblBorders>
                  <w:top w:val="single" w:sz="4" w:space="0" w:color="auto"/>
                  <w:left w:val="single" w:sz="4" w:space="0" w:color="auto"/>
                  <w:bottom w:val="single" w:sz="4" w:space="0" w:color="auto"/>
                  <w:right w:val="single" w:sz="4" w:space="0" w:color="auto"/>
                </w:tblBorders>
                <w:shd w:val="clear" w:color="auto" w:fill="BFBFBF"/>
                <w:tblLayout w:type="fixed"/>
                <w:tblLook w:val="0000" w:firstRow="0" w:lastRow="0" w:firstColumn="0" w:lastColumn="0" w:noHBand="0" w:noVBand="0"/>
              </w:tblPr>
              <w:tblGrid>
                <w:gridCol w:w="9286"/>
              </w:tblGrid>
              <w:tr w:rsidR="00B94C53" w:rsidTr="00B94C53">
                <w:tc>
                  <w:tcPr>
                    <w:tcW w:w="9286" w:type="dxa"/>
                    <w:tcBorders>
                      <w:bottom w:val="single" w:sz="2" w:space="0" w:color="auto"/>
                    </w:tcBorders>
                    <w:shd w:val="clear" w:color="auto" w:fill="BFBFBF"/>
                  </w:tcPr>
                  <w:p w:rsidR="00B94C53" w:rsidRDefault="00B94C53" w:rsidP="004E3753">
                    <w:pPr>
                      <w:spacing w:before="60" w:after="60"/>
                      <w:jc w:val="left"/>
                    </w:pPr>
                    <w:r w:rsidRPr="00B94C53">
                      <w:rPr>
                        <w:b/>
                      </w:rPr>
                      <w:t>Principal Activity</w:t>
                    </w:r>
                  </w:p>
                </w:tc>
              </w:tr>
              <w:tr w:rsidR="00B94C53" w:rsidTr="00B94C53">
                <w:tc>
                  <w:tcPr>
                    <w:tcW w:w="9286" w:type="dxa"/>
                    <w:tcBorders>
                      <w:top w:val="single" w:sz="2" w:space="0" w:color="auto"/>
                      <w:bottom w:val="single" w:sz="4" w:space="0" w:color="auto"/>
                    </w:tcBorders>
                    <w:shd w:val="clear" w:color="auto" w:fill="auto"/>
                  </w:tcPr>
                  <w:p w:rsidR="00B94C53" w:rsidRDefault="00B94C53" w:rsidP="00B94C53">
                    <w:pPr>
                      <w:tabs>
                        <w:tab w:val="left" w:pos="850"/>
                      </w:tabs>
                      <w:spacing w:before="60"/>
                      <w:jc w:val="left"/>
                    </w:pPr>
                    <w:r w:rsidRPr="00B94C53">
                      <w:t>2.1.1.3</w:t>
                    </w:r>
                    <w:r w:rsidRPr="00B94C53">
                      <w:tab/>
                      <w:t xml:space="preserve">Deliver effective land use planning to ensure community needs are met </w:t>
                    </w:r>
                  </w:p>
                </w:tc>
              </w:tr>
            </w:tbl>
          </w:sdtContent>
        </w:sdt>
        <w:p w:rsidR="00B94C53" w:rsidRDefault="00B94C53" w:rsidP="00B94C53"/>
        <w:p w:rsidR="00F841C5" w:rsidRPr="00E12D06" w:rsidRDefault="00F841C5" w:rsidP="0023424A">
          <w:pPr>
            <w:rPr>
              <w:sz w:val="4"/>
              <w:szCs w:val="4"/>
            </w:rPr>
          </w:pPr>
        </w:p>
        <w:p w:rsidR="00F841C5" w:rsidRDefault="00F841C5" w:rsidP="0033493F">
          <w:bookmarkStart w:id="4" w:name="PDF_ClosedCommittee"/>
          <w:r w:rsidRPr="00E12D06">
            <w:t xml:space="preserve"> </w:t>
          </w:r>
          <w:bookmarkEnd w:id="4"/>
        </w:p>
        <w:p w:rsidR="00F841C5" w:rsidRPr="00304446" w:rsidRDefault="00F841C5" w:rsidP="00304446">
          <w:pPr>
            <w:pBdr>
              <w:bottom w:val="single" w:sz="4" w:space="1" w:color="auto"/>
            </w:pBdr>
            <w:rPr>
              <w:sz w:val="4"/>
              <w:szCs w:val="4"/>
            </w:rPr>
          </w:pPr>
        </w:p>
        <w:p w:rsidR="00B3793F" w:rsidRPr="00645D40" w:rsidRDefault="003B5C5E" w:rsidP="00F841C5">
          <w:pPr>
            <w:rPr>
              <w:szCs w:val="22"/>
            </w:rPr>
          </w:pPr>
        </w:p>
      </w:sdtContent>
    </w:sdt>
    <w:sdt>
      <w:sdtPr>
        <w:rPr>
          <w:rFonts w:cs="Times New Roman"/>
          <w:color w:val="auto"/>
          <w:sz w:val="22"/>
          <w:lang w:eastAsia="en-US"/>
        </w:rPr>
        <w:alias w:val="ICSection"/>
        <w:tag w:val="2"/>
        <w:id w:val="-498422883"/>
        <w:placeholder>
          <w:docPart w:val="DefaultPlaceholder_-1854013440"/>
        </w:placeholder>
        <w15:appearance w15:val="hidden"/>
      </w:sdtPr>
      <w:sdtEndPr/>
      <w:sdtContent>
        <w:p w:rsidR="001906F9" w:rsidRPr="00473B9B" w:rsidRDefault="001906F9" w:rsidP="001906F9">
          <w:pPr>
            <w:pStyle w:val="Default"/>
            <w:rPr>
              <w:b/>
              <w:sz w:val="26"/>
              <w:szCs w:val="26"/>
            </w:rPr>
          </w:pPr>
          <w:r w:rsidRPr="00473B9B">
            <w:rPr>
              <w:b/>
              <w:sz w:val="26"/>
              <w:szCs w:val="26"/>
            </w:rPr>
            <w:t>Referral Criteria</w:t>
          </w:r>
        </w:p>
        <w:p w:rsidR="001906F9" w:rsidRDefault="001906F9" w:rsidP="001906F9"/>
        <w:p w:rsidR="001906F9" w:rsidRDefault="001906F9" w:rsidP="001906F9">
          <w:r>
            <w:t xml:space="preserve">The attached Planning Proposal is referred to the Campbelltown Local Planning Panel (the Panel) for advice in accordance with Section 2.19 of the </w:t>
          </w:r>
          <w:r w:rsidRPr="00120BED">
            <w:rPr>
              <w:i/>
            </w:rPr>
            <w:t>Environmental Planning and Assessment Act, 1979</w:t>
          </w:r>
          <w:r>
            <w:rPr>
              <w:i/>
            </w:rPr>
            <w:t xml:space="preserve"> </w:t>
          </w:r>
          <w:r>
            <w:t>(EP&amp;A Act)</w:t>
          </w:r>
          <w:r>
            <w:rPr>
              <w:i/>
            </w:rPr>
            <w:t xml:space="preserve"> </w:t>
          </w:r>
          <w:r>
            <w:t>and the Local Planning Panel Direction – Planning Proposals.</w:t>
          </w:r>
        </w:p>
        <w:p w:rsidR="001906F9" w:rsidRDefault="001906F9" w:rsidP="001906F9"/>
        <w:p w:rsidR="001906F9" w:rsidRDefault="001906F9" w:rsidP="001906F9">
          <w:r>
            <w:t>The Panel must have given its advice on a PP before Council considers whether or not to forward it to the Minister for Planning and Public Spaces for a Gateway Determination under Section 3.34 of the EP&amp;A Act.</w:t>
          </w:r>
        </w:p>
        <w:p w:rsidR="001906F9" w:rsidRDefault="001906F9" w:rsidP="001906F9">
          <w:pPr>
            <w:pStyle w:val="Default"/>
          </w:pPr>
        </w:p>
        <w:p w:rsidR="00F841C5" w:rsidRPr="00246015" w:rsidRDefault="00F841C5" w:rsidP="008544F1">
          <w:pPr>
            <w:rPr>
              <w:b/>
              <w:sz w:val="26"/>
            </w:rPr>
          </w:pPr>
          <w:r w:rsidRPr="00BC5693">
            <w:rPr>
              <w:b/>
              <w:sz w:val="26"/>
            </w:rPr>
            <w:t>Executive Summary</w:t>
          </w:r>
        </w:p>
        <w:p w:rsidR="00263799" w:rsidRPr="00263799" w:rsidRDefault="00096ABB" w:rsidP="00520E3B">
          <w:pPr>
            <w:numPr>
              <w:ilvl w:val="0"/>
              <w:numId w:val="25"/>
            </w:numPr>
            <w:spacing w:before="120"/>
            <w:ind w:left="567" w:hanging="567"/>
            <w:rPr>
              <w:szCs w:val="22"/>
            </w:rPr>
          </w:pPr>
          <w:r w:rsidRPr="00263799">
            <w:rPr>
              <w:szCs w:val="22"/>
            </w:rPr>
            <w:t>Clause 4.4 of C</w:t>
          </w:r>
          <w:r w:rsidR="00520E3B">
            <w:rPr>
              <w:szCs w:val="22"/>
            </w:rPr>
            <w:t>ampbelltown Local Environment Plan</w:t>
          </w:r>
          <w:r w:rsidRPr="00263799">
            <w:rPr>
              <w:szCs w:val="22"/>
            </w:rPr>
            <w:t xml:space="preserve"> 2015 </w:t>
          </w:r>
          <w:r w:rsidR="00520E3B">
            <w:rPr>
              <w:szCs w:val="22"/>
            </w:rPr>
            <w:t xml:space="preserve">(CLEP 2015) </w:t>
          </w:r>
          <w:r w:rsidRPr="00263799">
            <w:rPr>
              <w:szCs w:val="22"/>
            </w:rPr>
            <w:t>applies to the majority of land within the Campbelltown L</w:t>
          </w:r>
          <w:r w:rsidR="00520E3B">
            <w:rPr>
              <w:szCs w:val="22"/>
            </w:rPr>
            <w:t xml:space="preserve">ocal </w:t>
          </w:r>
          <w:r w:rsidRPr="00263799">
            <w:rPr>
              <w:szCs w:val="22"/>
            </w:rPr>
            <w:t>G</w:t>
          </w:r>
          <w:r w:rsidR="00520E3B">
            <w:rPr>
              <w:szCs w:val="22"/>
            </w:rPr>
            <w:t xml:space="preserve">overnment </w:t>
          </w:r>
          <w:r w:rsidRPr="00263799">
            <w:rPr>
              <w:szCs w:val="22"/>
            </w:rPr>
            <w:t>A</w:t>
          </w:r>
          <w:r w:rsidR="00520E3B">
            <w:rPr>
              <w:szCs w:val="22"/>
            </w:rPr>
            <w:t>rea (LGA)</w:t>
          </w:r>
          <w:r w:rsidRPr="00263799">
            <w:rPr>
              <w:szCs w:val="22"/>
            </w:rPr>
            <w:t xml:space="preserve"> and provides the relevant development standards relating to the control </w:t>
          </w:r>
          <w:r w:rsidR="00263799" w:rsidRPr="00263799">
            <w:rPr>
              <w:szCs w:val="22"/>
            </w:rPr>
            <w:t xml:space="preserve">of </w:t>
          </w:r>
          <w:r w:rsidRPr="00263799">
            <w:rPr>
              <w:szCs w:val="22"/>
            </w:rPr>
            <w:t>the floor space ratio (FSR) of buildings.</w:t>
          </w:r>
        </w:p>
        <w:p w:rsidR="00263799" w:rsidRPr="00263799" w:rsidRDefault="00263799" w:rsidP="00520E3B">
          <w:pPr>
            <w:numPr>
              <w:ilvl w:val="0"/>
              <w:numId w:val="25"/>
            </w:numPr>
            <w:spacing w:before="120"/>
            <w:ind w:left="567" w:hanging="567"/>
            <w:rPr>
              <w:szCs w:val="22"/>
            </w:rPr>
          </w:pPr>
          <w:r w:rsidRPr="00263799">
            <w:rPr>
              <w:szCs w:val="22"/>
            </w:rPr>
            <w:t>At the commencement of CLEP 2015, Clause 4.4 comprised only of subclauses 4.4(1) - (2A) in their current form. Sub clause 4.4(1) provides the objectives of clause 4.4, subclause 4.4(2) prescribes the maximum floor space ratio for buildings as per the Floor Space Ratio Map of CLEP 2015, and sub clause 4.4(2A) is a local provision prescribing additional FSR controls for specified developments separate to the Floor Space Ratio Map.</w:t>
          </w:r>
        </w:p>
        <w:p w:rsidR="00263799" w:rsidRPr="00263799" w:rsidRDefault="00096ABB" w:rsidP="00520E3B">
          <w:pPr>
            <w:numPr>
              <w:ilvl w:val="0"/>
              <w:numId w:val="25"/>
            </w:numPr>
            <w:spacing w:before="120"/>
            <w:ind w:left="567" w:hanging="567"/>
            <w:rPr>
              <w:szCs w:val="22"/>
            </w:rPr>
          </w:pPr>
          <w:r w:rsidRPr="00263799">
            <w:rPr>
              <w:szCs w:val="22"/>
            </w:rPr>
            <w:t>Clause 4.4 was amended by Council on 29 April 2022 with the insertion of additional sub clauses 4.4(2B) and 4.4 (2C)</w:t>
          </w:r>
          <w:r w:rsidR="00263799" w:rsidRPr="00263799">
            <w:rPr>
              <w:szCs w:val="22"/>
            </w:rPr>
            <w:t xml:space="preserve">, </w:t>
          </w:r>
          <w:r w:rsidRPr="00263799">
            <w:rPr>
              <w:szCs w:val="22"/>
            </w:rPr>
            <w:t xml:space="preserve">made under separate planning proposals for the Gilead </w:t>
          </w:r>
          <w:r w:rsidR="00263799" w:rsidRPr="00263799">
            <w:rPr>
              <w:szCs w:val="22"/>
            </w:rPr>
            <w:t xml:space="preserve">Urban Release Area </w:t>
          </w:r>
          <w:r w:rsidRPr="00263799">
            <w:rPr>
              <w:szCs w:val="22"/>
            </w:rPr>
            <w:t>and Menangle Park Urban Release Area.</w:t>
          </w:r>
        </w:p>
        <w:p w:rsidR="00EC4525" w:rsidRPr="00263799" w:rsidRDefault="00096ABB" w:rsidP="00520E3B">
          <w:pPr>
            <w:numPr>
              <w:ilvl w:val="0"/>
              <w:numId w:val="25"/>
            </w:numPr>
            <w:spacing w:before="120"/>
            <w:ind w:left="567" w:hanging="567"/>
            <w:rPr>
              <w:szCs w:val="22"/>
            </w:rPr>
          </w:pPr>
          <w:r w:rsidRPr="00263799">
            <w:rPr>
              <w:szCs w:val="22"/>
            </w:rPr>
            <w:t xml:space="preserve">A number of issues have been identified with the effective operation of clause 4.4 (as amended), </w:t>
          </w:r>
          <w:r w:rsidR="00263799" w:rsidRPr="00263799">
            <w:rPr>
              <w:szCs w:val="22"/>
            </w:rPr>
            <w:t>generally relating to</w:t>
          </w:r>
          <w:r w:rsidRPr="00263799">
            <w:rPr>
              <w:szCs w:val="22"/>
            </w:rPr>
            <w:t xml:space="preserve"> unintended floor space ratio </w:t>
          </w:r>
          <w:r w:rsidR="00263799" w:rsidRPr="00263799">
            <w:rPr>
              <w:szCs w:val="22"/>
            </w:rPr>
            <w:t>outcomes</w:t>
          </w:r>
          <w:r w:rsidRPr="00263799">
            <w:rPr>
              <w:szCs w:val="22"/>
            </w:rPr>
            <w:t xml:space="preserve"> being permitted </w:t>
          </w:r>
          <w:r w:rsidR="00263799" w:rsidRPr="00263799">
            <w:rPr>
              <w:szCs w:val="22"/>
            </w:rPr>
            <w:t>in certain instances</w:t>
          </w:r>
          <w:r w:rsidRPr="00263799">
            <w:rPr>
              <w:szCs w:val="22"/>
            </w:rPr>
            <w:t xml:space="preserve"> as a result of the interplay of the sub clauses.</w:t>
          </w:r>
          <w:r w:rsidR="00263799" w:rsidRPr="00263799">
            <w:rPr>
              <w:szCs w:val="22"/>
            </w:rPr>
            <w:t xml:space="preserve"> This is creating the potential for buildings of excessive bulk and scale that are incompatible with the desired character of their locality.</w:t>
          </w:r>
        </w:p>
        <w:p w:rsidR="00C93EB2" w:rsidRPr="00263799" w:rsidRDefault="00263799" w:rsidP="00520E3B">
          <w:pPr>
            <w:numPr>
              <w:ilvl w:val="0"/>
              <w:numId w:val="25"/>
            </w:numPr>
            <w:spacing w:before="120"/>
            <w:ind w:left="567" w:hanging="567"/>
            <w:rPr>
              <w:szCs w:val="22"/>
            </w:rPr>
          </w:pPr>
          <w:r w:rsidRPr="00263799">
            <w:rPr>
              <w:szCs w:val="22"/>
            </w:rPr>
            <w:t xml:space="preserve">The amendment of clause 4.4 is recommended to streamline the operation of the clause in accordance with the clause objectives, and remove the opportunity for unintended FSR </w:t>
          </w:r>
          <w:r w:rsidRPr="00263799">
            <w:rPr>
              <w:szCs w:val="22"/>
            </w:rPr>
            <w:lastRenderedPageBreak/>
            <w:t>outcomes resulting from the interpretation and interplay of the sub clauses. The recommended amendments to Clause 4.4 will require a separate planning proposal to be prepared and endorsed by Council to amend CLEP 2015.</w:t>
          </w:r>
        </w:p>
        <w:p w:rsidR="00F841C5" w:rsidRDefault="00F841C5" w:rsidP="00263799">
          <w:pPr>
            <w:spacing w:before="120"/>
            <w:rPr>
              <w:szCs w:val="22"/>
            </w:rPr>
          </w:pPr>
        </w:p>
        <w:p w:rsidR="00F841C5" w:rsidRPr="009C0DF6" w:rsidRDefault="00F841C5" w:rsidP="00263799">
          <w:pPr>
            <w:pBdr>
              <w:bottom w:val="single" w:sz="4" w:space="1" w:color="auto"/>
            </w:pBdr>
            <w:rPr>
              <w:sz w:val="4"/>
              <w:szCs w:val="4"/>
            </w:rPr>
          </w:pPr>
        </w:p>
        <w:p w:rsidR="00B6759F" w:rsidRDefault="003B5C5E" w:rsidP="00263799"/>
      </w:sdtContent>
    </w:sdt>
    <w:sdt>
      <w:sdtPr>
        <w:rPr>
          <w:b w:val="0"/>
          <w:sz w:val="22"/>
        </w:rPr>
        <w:alias w:val="ICSection"/>
        <w:tag w:val="3"/>
        <w:id w:val="-1625691222"/>
        <w:placeholder>
          <w:docPart w:val="DefaultPlaceholder_-1854013440"/>
        </w:placeholder>
        <w15:color w:val="FFCC99"/>
      </w:sdtPr>
      <w:sdtEndPr/>
      <w:sdtContent>
        <w:bookmarkStart w:id="5" w:name="PDF2_Recommendations_14329" w:displacedByCustomXml="prev"/>
        <w:bookmarkEnd w:id="5" w:displacedByCustomXml="prev"/>
        <w:bookmarkStart w:id="6" w:name="Recommendations" w:displacedByCustomXml="prev"/>
        <w:bookmarkEnd w:id="6" w:displacedByCustomXml="prev"/>
        <w:bookmarkStart w:id="7" w:name="PDF2_Recommendations" w:displacedByCustomXml="prev"/>
        <w:bookmarkEnd w:id="7" w:displacedByCustomXml="prev"/>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841C5" w:rsidTr="005244A1">
            <w:tc>
              <w:tcPr>
                <w:tcW w:w="9287" w:type="dxa"/>
              </w:tcPr>
              <w:p w:rsidR="00F841C5" w:rsidRPr="005671CD" w:rsidRDefault="00F841C5" w:rsidP="005244A1">
                <w:pPr>
                  <w:pStyle w:val="ICHeading1"/>
                  <w:keepNext w:val="0"/>
                  <w:spacing w:before="0"/>
                </w:pPr>
                <w:r w:rsidRPr="005671CD">
                  <w:t>Officer's Recommendation</w:t>
                </w:r>
              </w:p>
              <w:p w:rsidR="00F841C5" w:rsidRPr="005671CD" w:rsidRDefault="00F841C5" w:rsidP="00263799">
                <w:pPr>
                  <w:pStyle w:val="ICRecNum1"/>
                </w:pPr>
                <w:r w:rsidRPr="005671CD">
                  <w:t xml:space="preserve">That </w:t>
                </w:r>
                <w:r w:rsidR="00263799" w:rsidRPr="00263799">
                  <w:t xml:space="preserve">the Campbelltown Local Planning Panel provide its advice on the </w:t>
                </w:r>
                <w:r w:rsidR="0008321E">
                  <w:t xml:space="preserve">proposed </w:t>
                </w:r>
                <w:r w:rsidR="00263799" w:rsidRPr="00263799">
                  <w:t xml:space="preserve">amendment clause 4.4 of Campbelltown Local Environmental Plan 2015 </w:t>
                </w:r>
                <w:r w:rsidR="0008321E">
                  <w:t xml:space="preserve">(attachment 1) </w:t>
                </w:r>
                <w:r w:rsidR="00263799" w:rsidRPr="00263799">
                  <w:t>to improve the operation of the clause relating to the control the floor space ratio of buildings.</w:t>
                </w:r>
              </w:p>
              <w:p w:rsidR="00F841C5" w:rsidRDefault="00F841C5" w:rsidP="00263799">
                <w:pPr>
                  <w:pStyle w:val="ICRecNum1"/>
                  <w:tabs>
                    <w:tab w:val="left" w:pos="567"/>
                  </w:tabs>
                </w:pPr>
                <w:r w:rsidRPr="005671CD">
                  <w:t xml:space="preserve">That </w:t>
                </w:r>
                <w:r w:rsidR="00263799" w:rsidRPr="00C93EB2">
                  <w:rPr>
                    <w:rFonts w:eastAsia="Times New Roman" w:cs="Times New Roman"/>
                    <w:color w:val="000000"/>
                    <w:lang w:eastAsia="en-AU"/>
                  </w:rPr>
                  <w:t xml:space="preserve">the Campbelltown Local Planning Panel provide its advice as to whether </w:t>
                </w:r>
                <w:r w:rsidR="00263799">
                  <w:rPr>
                    <w:rFonts w:eastAsia="Times New Roman" w:cs="Times New Roman"/>
                    <w:color w:val="000000"/>
                    <w:lang w:eastAsia="en-AU"/>
                  </w:rPr>
                  <w:t>a</w:t>
                </w:r>
                <w:r w:rsidR="00263799" w:rsidRPr="00C93EB2">
                  <w:rPr>
                    <w:rFonts w:eastAsia="Times New Roman" w:cs="Times New Roman"/>
                    <w:color w:val="000000"/>
                    <w:lang w:eastAsia="en-AU"/>
                  </w:rPr>
                  <w:t xml:space="preserve"> planning proposal </w:t>
                </w:r>
                <w:r w:rsidR="00263799">
                  <w:rPr>
                    <w:rFonts w:eastAsia="Times New Roman" w:cs="Times New Roman"/>
                    <w:color w:val="000000"/>
                    <w:lang w:eastAsia="en-AU"/>
                  </w:rPr>
                  <w:t xml:space="preserve">incorporating the recommended amendments to clause 4.4 </w:t>
                </w:r>
                <w:r w:rsidR="00263799" w:rsidRPr="00C93EB2">
                  <w:rPr>
                    <w:rFonts w:eastAsia="Times New Roman" w:cs="Times New Roman"/>
                    <w:color w:val="000000"/>
                    <w:lang w:eastAsia="en-AU"/>
                  </w:rPr>
                  <w:t xml:space="preserve">should be </w:t>
                </w:r>
                <w:r w:rsidR="00263799">
                  <w:rPr>
                    <w:rFonts w:eastAsia="Times New Roman" w:cs="Times New Roman"/>
                    <w:color w:val="000000"/>
                    <w:lang w:eastAsia="en-AU"/>
                  </w:rPr>
                  <w:t xml:space="preserve">prepared and </w:t>
                </w:r>
                <w:r w:rsidR="00263799" w:rsidRPr="00C93EB2">
                  <w:rPr>
                    <w:rFonts w:eastAsia="Times New Roman" w:cs="Times New Roman"/>
                    <w:color w:val="000000"/>
                    <w:lang w:eastAsia="en-AU"/>
                  </w:rPr>
                  <w:t xml:space="preserve">forwarded </w:t>
                </w:r>
                <w:r w:rsidR="00263799">
                  <w:rPr>
                    <w:rFonts w:eastAsia="Times New Roman" w:cs="Times New Roman"/>
                    <w:color w:val="000000"/>
                    <w:lang w:eastAsia="en-AU"/>
                  </w:rPr>
                  <w:t xml:space="preserve">by Council </w:t>
                </w:r>
                <w:r w:rsidR="00263799" w:rsidRPr="00C93EB2">
                  <w:rPr>
                    <w:rFonts w:eastAsia="Times New Roman" w:cs="Times New Roman"/>
                    <w:color w:val="000000"/>
                    <w:lang w:eastAsia="en-AU"/>
                  </w:rPr>
                  <w:t>to the Minister for a Gateway Determination.</w:t>
                </w:r>
              </w:p>
            </w:tc>
          </w:tr>
        </w:tbl>
        <w:p w:rsidR="001D6C7A" w:rsidRDefault="003B5C5E" w:rsidP="00F841C5">
          <w:pPr>
            <w:spacing w:after="240"/>
          </w:pPr>
        </w:p>
      </w:sdtContent>
    </w:sdt>
    <w:sdt>
      <w:sdtPr>
        <w:rPr>
          <w:b w:val="0"/>
          <w:sz w:val="22"/>
        </w:rPr>
        <w:alias w:val="ICSection"/>
        <w:tag w:val="4"/>
        <w:id w:val="-424578827"/>
        <w:placeholder>
          <w:docPart w:val="DefaultPlaceholder_-1854013440"/>
        </w:placeholder>
        <w15:appearance w15:val="hidden"/>
      </w:sdtPr>
      <w:sdtEndPr>
        <w:rPr>
          <w:vanish/>
          <w:color w:val="000080"/>
        </w:rPr>
      </w:sdtEndPr>
      <w:sdtContent>
        <w:p w:rsidR="00F841C5" w:rsidRPr="00BB532F" w:rsidRDefault="00F841C5" w:rsidP="006F069E">
          <w:pPr>
            <w:pStyle w:val="ICHeading1"/>
            <w:spacing w:before="0"/>
          </w:pPr>
          <w:r w:rsidRPr="00BB532F">
            <w:t>Purpose</w:t>
          </w:r>
        </w:p>
        <w:p w:rsidR="00263799" w:rsidRPr="00263799" w:rsidRDefault="00263799" w:rsidP="00263799">
          <w:r w:rsidRPr="00263799">
            <w:t xml:space="preserve">The purpose of this report is to request the advice of the Campbelltown Local Planning Panel </w:t>
          </w:r>
          <w:r w:rsidR="00520E3B">
            <w:t xml:space="preserve">(the Panel) </w:t>
          </w:r>
          <w:r w:rsidRPr="00263799">
            <w:t xml:space="preserve">on a Planning Proposal (PP) to amend clause 4.4 of CLEP 2015 to improve the operation of the clause relating to the control of the floor space ration of buildings. </w:t>
          </w:r>
        </w:p>
        <w:p w:rsidR="00263799" w:rsidRPr="00263799" w:rsidRDefault="00263799" w:rsidP="00263799"/>
        <w:p w:rsidR="00263799" w:rsidRPr="00263799" w:rsidRDefault="00263799" w:rsidP="00263799">
          <w:r w:rsidRPr="00263799">
            <w:t xml:space="preserve">This advice is requested in accordance with Section 2.19 of the </w:t>
          </w:r>
          <w:r w:rsidRPr="00263799">
            <w:rPr>
              <w:i/>
            </w:rPr>
            <w:t>Environmental Planning and Assessment Act 1979</w:t>
          </w:r>
          <w:r w:rsidRPr="00263799">
            <w:t xml:space="preserve"> (EP&amp;A Act) and the Direction No.2 of the Local Planning Panels Direction – Planning Proposals</w:t>
          </w:r>
        </w:p>
        <w:p w:rsidR="00F841C5" w:rsidRPr="00BB532F" w:rsidRDefault="00F841C5" w:rsidP="006F069E"/>
        <w:p w:rsidR="00F841C5" w:rsidRPr="00BB532F" w:rsidRDefault="00F841C5" w:rsidP="006F069E">
          <w:pPr>
            <w:pStyle w:val="ICHeading1"/>
          </w:pPr>
          <w:r w:rsidRPr="00BB532F">
            <w:t>Report</w:t>
          </w:r>
        </w:p>
        <w:p w:rsidR="00F841C5" w:rsidRPr="00BB532F" w:rsidRDefault="00F841C5" w:rsidP="006F069E">
          <w:pPr>
            <w:tabs>
              <w:tab w:val="left" w:pos="567"/>
            </w:tabs>
            <w:rPr>
              <w:b/>
            </w:rPr>
          </w:pPr>
          <w:r w:rsidRPr="00BB532F">
            <w:rPr>
              <w:b/>
            </w:rPr>
            <w:t>1.</w:t>
          </w:r>
          <w:r w:rsidRPr="00BB532F">
            <w:rPr>
              <w:b/>
            </w:rPr>
            <w:tab/>
            <w:t>Vision</w:t>
          </w:r>
        </w:p>
        <w:p w:rsidR="00F841C5" w:rsidRPr="00BB532F" w:rsidRDefault="00F841C5" w:rsidP="006F069E"/>
        <w:p w:rsidR="00F841C5" w:rsidRPr="00263799" w:rsidRDefault="00263799" w:rsidP="00263799">
          <w:r w:rsidRPr="00263799">
            <w:t xml:space="preserve">Amendments to the wording of clause 4.4 </w:t>
          </w:r>
          <w:r w:rsidR="00520E3B">
            <w:t>CLEP</w:t>
          </w:r>
          <w:r>
            <w:t xml:space="preserve"> 2015 </w:t>
          </w:r>
          <w:r w:rsidRPr="00263799">
            <w:t xml:space="preserve">are recommended to improve the operation of the clause so as to more effectively control the FSR of buildings approved under that clause in the </w:t>
          </w:r>
          <w:r w:rsidR="00520E3B">
            <w:t>LGA</w:t>
          </w:r>
          <w:r w:rsidRPr="00263799">
            <w:t>.</w:t>
          </w:r>
        </w:p>
        <w:p w:rsidR="00F841C5" w:rsidRPr="00BB532F" w:rsidRDefault="00F841C5" w:rsidP="006F069E"/>
        <w:p w:rsidR="00F841C5" w:rsidRPr="00BB532F" w:rsidRDefault="00F841C5" w:rsidP="006F069E">
          <w:pPr>
            <w:tabs>
              <w:tab w:val="left" w:pos="567"/>
            </w:tabs>
            <w:rPr>
              <w:b/>
            </w:rPr>
          </w:pPr>
          <w:r w:rsidRPr="00BB532F">
            <w:rPr>
              <w:b/>
            </w:rPr>
            <w:t>2.</w:t>
          </w:r>
          <w:r w:rsidRPr="00BB532F">
            <w:rPr>
              <w:b/>
            </w:rPr>
            <w:tab/>
            <w:t>Planning Provisions</w:t>
          </w:r>
        </w:p>
        <w:p w:rsidR="00F841C5" w:rsidRPr="00BB532F" w:rsidRDefault="00F841C5" w:rsidP="006F069E"/>
        <w:p w:rsidR="00F841C5" w:rsidRPr="00263799" w:rsidRDefault="00263799" w:rsidP="00263799">
          <w:r w:rsidRPr="00D77C98">
            <w:t>The</w:t>
          </w:r>
          <w:r w:rsidRPr="00263799">
            <w:rPr>
              <w:i/>
            </w:rPr>
            <w:t xml:space="preserve"> </w:t>
          </w:r>
          <w:r w:rsidR="00096ABB">
            <w:t xml:space="preserve">EP&amp;A Act </w:t>
          </w:r>
          <w:r w:rsidRPr="00263799">
            <w:t xml:space="preserve">establishes the procedure for undertaking amendments to local environmental plans. </w:t>
          </w:r>
          <w:r w:rsidR="00096ABB">
            <w:t>T</w:t>
          </w:r>
          <w:r w:rsidRPr="00263799">
            <w:t>he Panel’s advice is also sought in accordance with the EP&amp;A Act.</w:t>
          </w:r>
        </w:p>
        <w:p w:rsidR="00F841C5" w:rsidRPr="00BB532F" w:rsidRDefault="00F841C5" w:rsidP="006F069E"/>
        <w:p w:rsidR="00F841C5" w:rsidRPr="00BB532F" w:rsidRDefault="00F841C5" w:rsidP="006F069E">
          <w:pPr>
            <w:tabs>
              <w:tab w:val="left" w:pos="567"/>
            </w:tabs>
            <w:rPr>
              <w:b/>
            </w:rPr>
          </w:pPr>
          <w:r w:rsidRPr="00BB532F">
            <w:rPr>
              <w:b/>
            </w:rPr>
            <w:t>3.</w:t>
          </w:r>
          <w:r w:rsidRPr="00BB532F">
            <w:rPr>
              <w:b/>
            </w:rPr>
            <w:tab/>
            <w:t>Planning Assessment</w:t>
          </w:r>
        </w:p>
        <w:p w:rsidR="00F841C5" w:rsidRPr="00BB532F" w:rsidRDefault="00F841C5" w:rsidP="006F069E"/>
        <w:p w:rsidR="00263799" w:rsidRPr="00263799" w:rsidRDefault="00263799" w:rsidP="00263799">
          <w:pPr>
            <w:shd w:val="clear" w:color="auto" w:fill="FFFFFF"/>
            <w:spacing w:after="160"/>
            <w:jc w:val="left"/>
            <w:rPr>
              <w:b/>
              <w:color w:val="000000"/>
              <w:szCs w:val="22"/>
              <w:lang w:eastAsia="en-AU"/>
            </w:rPr>
          </w:pPr>
          <w:r w:rsidRPr="00263799">
            <w:rPr>
              <w:b/>
              <w:color w:val="000000"/>
              <w:szCs w:val="22"/>
              <w:lang w:eastAsia="en-AU"/>
            </w:rPr>
            <w:t>Introduction</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This report considers and recommends improvements to the operation of Clause 4.4 of</w:t>
          </w:r>
          <w:r w:rsidR="00520E3B">
            <w:rPr>
              <w:color w:val="000000"/>
              <w:szCs w:val="22"/>
              <w:lang w:eastAsia="en-AU"/>
            </w:rPr>
            <w:t xml:space="preserve"> </w:t>
          </w:r>
          <w:r w:rsidRPr="00263799">
            <w:rPr>
              <w:color w:val="000000"/>
              <w:szCs w:val="22"/>
              <w:lang w:eastAsia="en-AU"/>
            </w:rPr>
            <w:t xml:space="preserve">CLEP </w:t>
          </w:r>
          <w:r w:rsidR="00520E3B">
            <w:rPr>
              <w:color w:val="000000"/>
              <w:szCs w:val="22"/>
              <w:lang w:eastAsia="en-AU"/>
            </w:rPr>
            <w:t>2</w:t>
          </w:r>
          <w:r w:rsidRPr="00263799">
            <w:rPr>
              <w:color w:val="000000"/>
              <w:szCs w:val="22"/>
              <w:lang w:eastAsia="en-AU"/>
            </w:rPr>
            <w:t xml:space="preserve">015, relating to the provision of floor space ratio controls for development in the </w:t>
          </w:r>
          <w:r w:rsidR="00520E3B">
            <w:rPr>
              <w:color w:val="000000"/>
              <w:szCs w:val="22"/>
              <w:lang w:eastAsia="en-AU"/>
            </w:rPr>
            <w:t>LGA</w:t>
          </w:r>
          <w:r w:rsidRPr="00263799">
            <w:rPr>
              <w:color w:val="000000"/>
              <w:szCs w:val="22"/>
              <w:lang w:eastAsia="en-AU"/>
            </w:rPr>
            <w:t>.</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 xml:space="preserve">Amendments to the wording of clause 4.4 are recommended to improve the operation of the clause so as to more effectively control the FSR of buildings approved under that clause in the </w:t>
          </w:r>
          <w:r w:rsidR="00520E3B">
            <w:rPr>
              <w:color w:val="000000"/>
              <w:szCs w:val="22"/>
              <w:lang w:eastAsia="en-AU"/>
            </w:rPr>
            <w:lastRenderedPageBreak/>
            <w:t>LGA</w:t>
          </w:r>
          <w:r w:rsidRPr="00263799">
            <w:rPr>
              <w:color w:val="000000"/>
              <w:szCs w:val="22"/>
              <w:lang w:eastAsia="en-AU"/>
            </w:rPr>
            <w:t>. The recommended amendments to Clause 4.4 will require a separate planning proposal to be prepared and endorsed by Council to amend CLEP 2015.</w:t>
          </w:r>
        </w:p>
        <w:p w:rsidR="00263799" w:rsidRPr="00263799" w:rsidRDefault="00263799" w:rsidP="00263799">
          <w:pPr>
            <w:shd w:val="clear" w:color="auto" w:fill="FFFFFF"/>
            <w:spacing w:after="160"/>
            <w:jc w:val="left"/>
            <w:rPr>
              <w:b/>
              <w:color w:val="000000"/>
              <w:szCs w:val="22"/>
              <w:lang w:eastAsia="en-AU"/>
            </w:rPr>
          </w:pPr>
          <w:r w:rsidRPr="00263799">
            <w:rPr>
              <w:b/>
              <w:color w:val="000000"/>
              <w:szCs w:val="22"/>
              <w:lang w:eastAsia="en-AU"/>
            </w:rPr>
            <w:t>Clause 4.4 Floor Space Ratio</w:t>
          </w:r>
        </w:p>
        <w:p w:rsidR="00263799" w:rsidRPr="00263799" w:rsidRDefault="00263799" w:rsidP="00263799">
          <w:pPr>
            <w:shd w:val="clear" w:color="auto" w:fill="FFFFFF"/>
            <w:spacing w:after="160"/>
            <w:jc w:val="left"/>
            <w:rPr>
              <w:color w:val="000000"/>
              <w:szCs w:val="22"/>
              <w:lang w:eastAsia="en-AU"/>
            </w:rPr>
          </w:pPr>
          <w:r w:rsidRPr="00263799">
            <w:rPr>
              <w:color w:val="000000"/>
              <w:szCs w:val="22"/>
              <w:lang w:eastAsia="en-AU"/>
            </w:rPr>
            <w:t>Clause 4.4 of the CLEP 2015 prescribes maximum floor space ratio (FSR) requirements for buildings as follows:</w:t>
          </w:r>
        </w:p>
        <w:p w:rsidR="00263799" w:rsidRPr="00263799" w:rsidRDefault="00263799" w:rsidP="00520E3B">
          <w:pPr>
            <w:shd w:val="clear" w:color="auto" w:fill="FFFFFF"/>
            <w:spacing w:after="160"/>
            <w:ind w:left="567" w:hanging="567"/>
            <w:rPr>
              <w:color w:val="000000"/>
              <w:szCs w:val="22"/>
              <w:lang w:eastAsia="en-AU"/>
            </w:rPr>
          </w:pPr>
          <w:r w:rsidRPr="00263799">
            <w:rPr>
              <w:b/>
              <w:color w:val="000000"/>
              <w:szCs w:val="22"/>
              <w:lang w:eastAsia="en-AU"/>
            </w:rPr>
            <w:t xml:space="preserve">4.4 </w:t>
          </w:r>
          <w:r w:rsidR="00520E3B">
            <w:rPr>
              <w:b/>
              <w:color w:val="000000"/>
              <w:szCs w:val="22"/>
              <w:lang w:eastAsia="en-AU"/>
            </w:rPr>
            <w:tab/>
          </w:r>
          <w:r w:rsidRPr="00263799">
            <w:rPr>
              <w:b/>
              <w:color w:val="000000"/>
              <w:szCs w:val="22"/>
              <w:lang w:eastAsia="en-AU"/>
            </w:rPr>
            <w:t>Floor space ratio</w:t>
          </w:r>
          <w:r w:rsidRPr="00263799">
            <w:rPr>
              <w:color w:val="000000"/>
              <w:szCs w:val="22"/>
              <w:lang w:eastAsia="en-AU"/>
            </w:rPr>
            <w:t xml:space="preserve"> </w:t>
          </w:r>
        </w:p>
        <w:p w:rsidR="00263799" w:rsidRPr="00263799" w:rsidRDefault="00263799" w:rsidP="007E0424">
          <w:pPr>
            <w:shd w:val="clear" w:color="auto" w:fill="FFFFFF"/>
            <w:spacing w:after="160"/>
            <w:ind w:left="567" w:hanging="567"/>
            <w:rPr>
              <w:color w:val="000000"/>
              <w:szCs w:val="22"/>
              <w:lang w:eastAsia="en-AU"/>
            </w:rPr>
          </w:pPr>
          <w:r w:rsidRPr="00263799">
            <w:rPr>
              <w:color w:val="000000"/>
              <w:szCs w:val="22"/>
              <w:lang w:eastAsia="en-AU"/>
            </w:rPr>
            <w:t xml:space="preserve">(1) </w:t>
          </w:r>
          <w:r w:rsidR="00520E3B">
            <w:rPr>
              <w:color w:val="000000"/>
              <w:szCs w:val="22"/>
              <w:lang w:eastAsia="en-AU"/>
            </w:rPr>
            <w:tab/>
          </w:r>
          <w:r w:rsidRPr="00263799">
            <w:rPr>
              <w:color w:val="000000"/>
              <w:szCs w:val="22"/>
              <w:lang w:eastAsia="en-AU"/>
            </w:rPr>
            <w:t>The objectives of this clause are as follows—</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(a)</w:t>
          </w:r>
          <w:r w:rsidR="00520E3B">
            <w:rPr>
              <w:color w:val="000000"/>
              <w:szCs w:val="22"/>
              <w:lang w:eastAsia="en-AU"/>
            </w:rPr>
            <w:tab/>
          </w:r>
          <w:r w:rsidRPr="00263799">
            <w:rPr>
              <w:color w:val="000000"/>
              <w:szCs w:val="22"/>
              <w:lang w:eastAsia="en-AU"/>
            </w:rPr>
            <w:t>to provide effective control over the bulk and scale of future development,</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(b)</w:t>
          </w:r>
          <w:r w:rsidR="00520E3B">
            <w:rPr>
              <w:color w:val="000000"/>
              <w:szCs w:val="22"/>
              <w:lang w:eastAsia="en-AU"/>
            </w:rPr>
            <w:tab/>
          </w:r>
          <w:r w:rsidRPr="00263799">
            <w:rPr>
              <w:color w:val="000000"/>
              <w:szCs w:val="22"/>
              <w:lang w:eastAsia="en-AU"/>
            </w:rPr>
            <w:t>to nominate a range of floor space ratio controls that will provide a transition in built form and land use intensity across all zones,</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(c)</w:t>
          </w:r>
          <w:r w:rsidR="00520E3B">
            <w:rPr>
              <w:color w:val="000000"/>
              <w:szCs w:val="22"/>
              <w:lang w:eastAsia="en-AU"/>
            </w:rPr>
            <w:tab/>
          </w:r>
          <w:r w:rsidRPr="00263799">
            <w:rPr>
              <w:color w:val="000000"/>
              <w:szCs w:val="22"/>
              <w:lang w:eastAsia="en-AU"/>
            </w:rPr>
            <w:t>to ensure that buildings are compatible with the bulk and scale of the existing and desired future character of the locality,</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(d)</w:t>
          </w:r>
          <w:r w:rsidR="00520E3B">
            <w:rPr>
              <w:color w:val="000000"/>
              <w:szCs w:val="22"/>
              <w:lang w:eastAsia="en-AU"/>
            </w:rPr>
            <w:tab/>
          </w:r>
          <w:r w:rsidRPr="00263799">
            <w:rPr>
              <w:color w:val="000000"/>
              <w:szCs w:val="22"/>
              <w:lang w:eastAsia="en-AU"/>
            </w:rPr>
            <w:t>to ensure that the bulk and scale of buildings contribute to the intended architectural outcomes for development appropriate to the locality and reflect their proximity to the business centres and transport facilities,</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(e)</w:t>
          </w:r>
          <w:r w:rsidR="00520E3B">
            <w:rPr>
              <w:color w:val="000000"/>
              <w:szCs w:val="22"/>
              <w:lang w:eastAsia="en-AU"/>
            </w:rPr>
            <w:tab/>
          </w:r>
          <w:r w:rsidRPr="00263799">
            <w:rPr>
              <w:color w:val="000000"/>
              <w:szCs w:val="22"/>
              <w:lang w:eastAsia="en-AU"/>
            </w:rPr>
            <w:t>to provide for built form that is compatible with the hierarchy and role of centres,</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(f)</w:t>
          </w:r>
          <w:r w:rsidR="00520E3B">
            <w:rPr>
              <w:color w:val="000000"/>
              <w:szCs w:val="22"/>
              <w:lang w:eastAsia="en-AU"/>
            </w:rPr>
            <w:tab/>
          </w:r>
          <w:r w:rsidRPr="00263799">
            <w:rPr>
              <w:color w:val="000000"/>
              <w:szCs w:val="22"/>
              <w:lang w:eastAsia="en-AU"/>
            </w:rPr>
            <w:t>to assist in the minimisation of opportunities for undesirable visual impact, disruption to views, loss of privacy and loss of solar access to existing and future development and the public domain is addressed,</w:t>
          </w:r>
        </w:p>
        <w:p w:rsidR="00263799" w:rsidRPr="00263799" w:rsidRDefault="00263799" w:rsidP="007E0424">
          <w:pPr>
            <w:shd w:val="clear" w:color="auto" w:fill="FFFFFF"/>
            <w:spacing w:after="160"/>
            <w:ind w:left="1134" w:hanging="567"/>
            <w:rPr>
              <w:color w:val="000000"/>
              <w:szCs w:val="22"/>
              <w:lang w:eastAsia="en-AU"/>
            </w:rPr>
          </w:pPr>
          <w:r w:rsidRPr="00263799">
            <w:rPr>
              <w:color w:val="000000"/>
              <w:szCs w:val="22"/>
              <w:lang w:eastAsia="en-AU"/>
            </w:rPr>
            <w:t>(g)</w:t>
          </w:r>
          <w:r w:rsidR="00520E3B">
            <w:rPr>
              <w:color w:val="000000"/>
              <w:szCs w:val="22"/>
              <w:lang w:eastAsia="en-AU"/>
            </w:rPr>
            <w:tab/>
          </w:r>
          <w:r w:rsidRPr="00263799">
            <w:rPr>
              <w:color w:val="000000"/>
              <w:szCs w:val="22"/>
              <w:lang w:eastAsia="en-AU"/>
            </w:rPr>
            <w:t>to minimise the adverse impacts of development on heritage conservation areas, heritage items and the public domain.</w:t>
          </w:r>
        </w:p>
        <w:p w:rsidR="00263799" w:rsidRPr="00263799" w:rsidRDefault="00263799" w:rsidP="007E0424">
          <w:pPr>
            <w:shd w:val="clear" w:color="auto" w:fill="FFFFFF"/>
            <w:ind w:left="567" w:hanging="567"/>
            <w:rPr>
              <w:color w:val="000000"/>
              <w:szCs w:val="22"/>
              <w:lang w:eastAsia="en-AU"/>
            </w:rPr>
          </w:pPr>
          <w:r w:rsidRPr="00263799">
            <w:rPr>
              <w:color w:val="000000"/>
              <w:szCs w:val="22"/>
              <w:lang w:eastAsia="en-AU"/>
            </w:rPr>
            <w:t>(2)</w:t>
          </w:r>
          <w:r w:rsidR="00520E3B">
            <w:rPr>
              <w:color w:val="000000"/>
              <w:szCs w:val="22"/>
              <w:lang w:eastAsia="en-AU"/>
            </w:rPr>
            <w:tab/>
          </w:r>
          <w:r w:rsidRPr="00263799">
            <w:rPr>
              <w:color w:val="000000"/>
              <w:szCs w:val="22"/>
              <w:lang w:eastAsia="en-AU"/>
            </w:rPr>
            <w:t>The maximum floor space ratio for a building on any land is not to exceed the floor space ratio shown for the land on the Floor Space Ratio Map.</w:t>
          </w:r>
        </w:p>
        <w:p w:rsidR="00263799" w:rsidRPr="00263799" w:rsidRDefault="00263799" w:rsidP="00520E3B">
          <w:pPr>
            <w:shd w:val="clear" w:color="auto" w:fill="FFFFFF"/>
            <w:ind w:left="720"/>
            <w:rPr>
              <w:color w:val="000000"/>
              <w:szCs w:val="22"/>
              <w:lang w:eastAsia="en-AU"/>
            </w:rPr>
          </w:pPr>
        </w:p>
        <w:p w:rsidR="00263799" w:rsidRDefault="00263799" w:rsidP="00520E3B">
          <w:pPr>
            <w:shd w:val="clear" w:color="auto" w:fill="FFFFFF"/>
            <w:ind w:left="1134" w:hanging="567"/>
            <w:rPr>
              <w:color w:val="000000"/>
              <w:szCs w:val="22"/>
              <w:lang w:eastAsia="en-AU"/>
            </w:rPr>
          </w:pPr>
          <w:r w:rsidRPr="00263799">
            <w:rPr>
              <w:color w:val="000000"/>
              <w:szCs w:val="22"/>
              <w:lang w:eastAsia="en-AU"/>
            </w:rPr>
            <w:t>(2A)</w:t>
          </w:r>
          <w:r w:rsidR="00520E3B">
            <w:rPr>
              <w:color w:val="000000"/>
              <w:szCs w:val="22"/>
              <w:lang w:eastAsia="en-AU"/>
            </w:rPr>
            <w:tab/>
          </w:r>
          <w:r w:rsidRPr="00263799">
            <w:rPr>
              <w:color w:val="000000"/>
              <w:szCs w:val="22"/>
              <w:lang w:eastAsia="en-AU"/>
            </w:rPr>
            <w:t xml:space="preserve">Despite subclause (2), the floor space ratio for a building used for a purpose specified in the table to this subclause on land in a zone specified in the table is the floor space ratio listed beside the use and the zone in the table plus the floor space </w:t>
          </w:r>
          <w:r w:rsidRPr="00C165FA">
            <w:rPr>
              <w:color w:val="000000"/>
              <w:szCs w:val="22"/>
              <w:lang w:eastAsia="en-AU"/>
            </w:rPr>
            <w:t>ratio shown for the land on the Floor Space Ratio Map.</w:t>
          </w:r>
        </w:p>
        <w:p w:rsidR="00C165FA" w:rsidRDefault="00C165FA" w:rsidP="00520E3B">
          <w:pPr>
            <w:shd w:val="clear" w:color="auto" w:fill="FFFFFF"/>
            <w:ind w:left="1134" w:hanging="567"/>
            <w:rPr>
              <w:color w:val="000000"/>
              <w:szCs w:val="22"/>
              <w:lang w:eastAsia="en-AU"/>
            </w:rPr>
          </w:pPr>
        </w:p>
        <w:tbl>
          <w:tblPr>
            <w:tblStyle w:val="TableGrid"/>
            <w:tblW w:w="0" w:type="auto"/>
            <w:tblInd w:w="1134"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204"/>
            <w:gridCol w:w="1842"/>
          </w:tblGrid>
          <w:tr w:rsidR="00C165FA" w:rsidTr="004E0BE0">
            <w:tc>
              <w:tcPr>
                <w:tcW w:w="6204" w:type="dxa"/>
              </w:tcPr>
              <w:p w:rsidR="00C165FA" w:rsidRPr="00C165FA" w:rsidRDefault="00C165FA" w:rsidP="00C165FA">
                <w:pPr>
                  <w:rPr>
                    <w:b/>
                  </w:rPr>
                </w:pPr>
                <w:r w:rsidRPr="00C165FA">
                  <w:rPr>
                    <w:b/>
                  </w:rPr>
                  <w:t>Column 1</w:t>
                </w:r>
              </w:p>
            </w:tc>
            <w:tc>
              <w:tcPr>
                <w:tcW w:w="1842" w:type="dxa"/>
              </w:tcPr>
              <w:p w:rsidR="00C165FA" w:rsidRPr="00C165FA" w:rsidRDefault="00C165FA" w:rsidP="00C165FA">
                <w:pPr>
                  <w:rPr>
                    <w:b/>
                  </w:rPr>
                </w:pPr>
                <w:r w:rsidRPr="00C165FA">
                  <w:rPr>
                    <w:b/>
                  </w:rPr>
                  <w:t>Column 2</w:t>
                </w:r>
              </w:p>
            </w:tc>
          </w:tr>
          <w:tr w:rsidR="00C165FA" w:rsidTr="004E0BE0">
            <w:tc>
              <w:tcPr>
                <w:tcW w:w="6204" w:type="dxa"/>
              </w:tcPr>
              <w:p w:rsidR="00C165FA" w:rsidRPr="00C165FA" w:rsidRDefault="00C165FA" w:rsidP="00C165FA">
                <w:pPr>
                  <w:rPr>
                    <w:b/>
                  </w:rPr>
                </w:pPr>
                <w:r w:rsidRPr="00C165FA">
                  <w:rPr>
                    <w:b/>
                  </w:rPr>
                  <w:t>Use and zone</w:t>
                </w:r>
              </w:p>
            </w:tc>
            <w:tc>
              <w:tcPr>
                <w:tcW w:w="1842" w:type="dxa"/>
              </w:tcPr>
              <w:p w:rsidR="00C165FA" w:rsidRPr="00C165FA" w:rsidRDefault="00C165FA" w:rsidP="00C165FA">
                <w:pPr>
                  <w:rPr>
                    <w:b/>
                  </w:rPr>
                </w:pPr>
                <w:r w:rsidRPr="00C165FA">
                  <w:rPr>
                    <w:b/>
                  </w:rPr>
                  <w:t>Floor space ratio</w:t>
                </w:r>
              </w:p>
            </w:tc>
          </w:tr>
          <w:tr w:rsidR="00C165FA" w:rsidTr="004E0BE0">
            <w:tc>
              <w:tcPr>
                <w:tcW w:w="6204" w:type="dxa"/>
              </w:tcPr>
              <w:p w:rsidR="00C165FA" w:rsidRPr="00D64DC4" w:rsidRDefault="00C165FA" w:rsidP="00C165FA">
                <w:r w:rsidRPr="00D64DC4">
                  <w:t>Dwelling houses in Zone R2 Low Density Residential, Zone R3 Medium Density Residential and Zone R5 Large Lot Residential</w:t>
                </w:r>
              </w:p>
            </w:tc>
            <w:tc>
              <w:tcPr>
                <w:tcW w:w="1842" w:type="dxa"/>
              </w:tcPr>
              <w:p w:rsidR="00C165FA" w:rsidRPr="0088056B" w:rsidRDefault="00C165FA" w:rsidP="00C165FA">
                <w:r w:rsidRPr="0088056B">
                  <w:t>0.55:1</w:t>
                </w:r>
              </w:p>
            </w:tc>
          </w:tr>
          <w:tr w:rsidR="00C165FA" w:rsidTr="004E0BE0">
            <w:tc>
              <w:tcPr>
                <w:tcW w:w="6204" w:type="dxa"/>
              </w:tcPr>
              <w:p w:rsidR="00C165FA" w:rsidRPr="00D64DC4" w:rsidRDefault="00C165FA" w:rsidP="00C165FA">
                <w:r w:rsidRPr="00D64DC4">
                  <w:t>Dual occupancies in Zone R2 Low Density Residential, Zone R3 Medium Density Residential and Zone R5 Large Lot Residential</w:t>
                </w:r>
              </w:p>
            </w:tc>
            <w:tc>
              <w:tcPr>
                <w:tcW w:w="1842" w:type="dxa"/>
              </w:tcPr>
              <w:p w:rsidR="00C165FA" w:rsidRPr="0088056B" w:rsidRDefault="00C165FA" w:rsidP="00C165FA">
                <w:r w:rsidRPr="0088056B">
                  <w:t>0.45:1</w:t>
                </w:r>
              </w:p>
            </w:tc>
          </w:tr>
          <w:tr w:rsidR="00C165FA" w:rsidTr="004E0BE0">
            <w:tc>
              <w:tcPr>
                <w:tcW w:w="6204" w:type="dxa"/>
              </w:tcPr>
              <w:p w:rsidR="00C165FA" w:rsidRPr="00D64DC4" w:rsidRDefault="00C165FA" w:rsidP="00C165FA">
                <w:r w:rsidRPr="00D64DC4">
                  <w:t>Multi dwelling housing in Zone R3 Medium Density Residential</w:t>
                </w:r>
              </w:p>
            </w:tc>
            <w:tc>
              <w:tcPr>
                <w:tcW w:w="1842" w:type="dxa"/>
              </w:tcPr>
              <w:p w:rsidR="00C165FA" w:rsidRPr="0088056B" w:rsidRDefault="00C165FA" w:rsidP="00C165FA">
                <w:r w:rsidRPr="0088056B">
                  <w:t>0.75:1</w:t>
                </w:r>
              </w:p>
            </w:tc>
          </w:tr>
          <w:tr w:rsidR="00C165FA" w:rsidTr="004E0BE0">
            <w:tc>
              <w:tcPr>
                <w:tcW w:w="6204" w:type="dxa"/>
              </w:tcPr>
              <w:p w:rsidR="00C165FA" w:rsidRPr="00D64DC4" w:rsidRDefault="00C165FA" w:rsidP="00C165FA">
                <w:r w:rsidRPr="00D64DC4">
                  <w:t>Centre-based child care facilities in a residential zone</w:t>
                </w:r>
              </w:p>
            </w:tc>
            <w:tc>
              <w:tcPr>
                <w:tcW w:w="1842" w:type="dxa"/>
              </w:tcPr>
              <w:p w:rsidR="00C165FA" w:rsidRPr="0088056B" w:rsidRDefault="00C165FA" w:rsidP="00C165FA">
                <w:r w:rsidRPr="0088056B">
                  <w:t>0.55:1</w:t>
                </w:r>
              </w:p>
            </w:tc>
          </w:tr>
          <w:tr w:rsidR="00C165FA" w:rsidTr="004E0BE0">
            <w:tc>
              <w:tcPr>
                <w:tcW w:w="6204" w:type="dxa"/>
              </w:tcPr>
              <w:p w:rsidR="00C165FA" w:rsidRPr="00D64DC4" w:rsidRDefault="00C165FA" w:rsidP="00C165FA">
                <w:r w:rsidRPr="00D64DC4">
                  <w:t>Attached dwellings in Zone R2 Low Density Residential</w:t>
                </w:r>
              </w:p>
            </w:tc>
            <w:tc>
              <w:tcPr>
                <w:tcW w:w="1842" w:type="dxa"/>
              </w:tcPr>
              <w:p w:rsidR="00C165FA" w:rsidRPr="0088056B" w:rsidRDefault="00C165FA" w:rsidP="00C165FA">
                <w:r w:rsidRPr="0088056B">
                  <w:t>0.45:1</w:t>
                </w:r>
              </w:p>
            </w:tc>
          </w:tr>
          <w:tr w:rsidR="00C165FA" w:rsidTr="004E0BE0">
            <w:tc>
              <w:tcPr>
                <w:tcW w:w="6204" w:type="dxa"/>
              </w:tcPr>
              <w:p w:rsidR="00C165FA" w:rsidRDefault="00C165FA" w:rsidP="00C165FA">
                <w:r w:rsidRPr="00D64DC4">
                  <w:t>Attached dwellings in Zone R3 Medium Density Residential</w:t>
                </w:r>
              </w:p>
            </w:tc>
            <w:tc>
              <w:tcPr>
                <w:tcW w:w="1842" w:type="dxa"/>
              </w:tcPr>
              <w:p w:rsidR="00C165FA" w:rsidRDefault="00C165FA" w:rsidP="00C165FA">
                <w:r w:rsidRPr="0088056B">
                  <w:t>0.75:1</w:t>
                </w:r>
              </w:p>
            </w:tc>
          </w:tr>
        </w:tbl>
        <w:p w:rsidR="00C165FA" w:rsidRDefault="00C165FA" w:rsidP="00520E3B">
          <w:pPr>
            <w:shd w:val="clear" w:color="auto" w:fill="FFFFFF"/>
            <w:ind w:left="1134" w:hanging="567"/>
            <w:rPr>
              <w:color w:val="000000"/>
              <w:szCs w:val="22"/>
              <w:lang w:eastAsia="en-AU"/>
            </w:rPr>
          </w:pPr>
        </w:p>
        <w:p w:rsidR="00A11506" w:rsidRPr="00C165FA" w:rsidRDefault="00A11506" w:rsidP="00A11506">
          <w:pPr>
            <w:shd w:val="clear" w:color="auto" w:fill="FFFFFF"/>
            <w:spacing w:after="160"/>
            <w:ind w:left="1134" w:hanging="567"/>
            <w:jc w:val="left"/>
            <w:rPr>
              <w:color w:val="000000"/>
              <w:szCs w:val="22"/>
              <w:lang w:eastAsia="en-AU"/>
            </w:rPr>
          </w:pPr>
          <w:r w:rsidRPr="00C165FA">
            <w:rPr>
              <w:color w:val="000000"/>
              <w:szCs w:val="22"/>
              <w:lang w:eastAsia="en-AU"/>
            </w:rPr>
            <w:t>(2B)</w:t>
          </w:r>
          <w:r w:rsidRPr="00C165FA">
            <w:rPr>
              <w:color w:val="000000"/>
              <w:szCs w:val="22"/>
              <w:lang w:eastAsia="en-AU"/>
            </w:rPr>
            <w:tab/>
            <w:t>Subclause (2A) does not apply to land identified as “Mount Gilead Urban Release Area” on the Urban Release Area Map.</w:t>
          </w:r>
        </w:p>
        <w:p w:rsidR="00263799" w:rsidRPr="00263799" w:rsidRDefault="00263799" w:rsidP="00520E3B">
          <w:pPr>
            <w:shd w:val="clear" w:color="auto" w:fill="FFFFFF"/>
            <w:spacing w:after="160"/>
            <w:ind w:left="1134" w:hanging="567"/>
            <w:jc w:val="left"/>
            <w:rPr>
              <w:color w:val="000000"/>
              <w:szCs w:val="22"/>
              <w:lang w:eastAsia="en-AU"/>
            </w:rPr>
          </w:pPr>
          <w:r w:rsidRPr="00C165FA">
            <w:rPr>
              <w:color w:val="000000"/>
              <w:szCs w:val="22"/>
              <w:lang w:eastAsia="en-AU"/>
            </w:rPr>
            <w:t>(2C)</w:t>
          </w:r>
          <w:r w:rsidR="00520E3B" w:rsidRPr="00C165FA">
            <w:rPr>
              <w:color w:val="000000"/>
              <w:szCs w:val="22"/>
              <w:lang w:eastAsia="en-AU"/>
            </w:rPr>
            <w:tab/>
          </w:r>
          <w:r w:rsidRPr="00C165FA">
            <w:rPr>
              <w:color w:val="000000"/>
              <w:szCs w:val="22"/>
              <w:lang w:eastAsia="en-AU"/>
            </w:rPr>
            <w:t>To avoid doubt, subclause (2A) does not apply to land for which a floor space ratio is not shown on the</w:t>
          </w:r>
          <w:r w:rsidR="007E0424">
            <w:rPr>
              <w:color w:val="000000"/>
              <w:szCs w:val="22"/>
              <w:lang w:eastAsia="en-AU"/>
            </w:rPr>
            <w:t xml:space="preserve"> </w:t>
          </w:r>
          <w:r w:rsidRPr="007E0424">
            <w:rPr>
              <w:iCs/>
              <w:color w:val="000000"/>
              <w:szCs w:val="22"/>
              <w:lang w:eastAsia="en-AU"/>
            </w:rPr>
            <w:t>Floor Space Ratio Map</w:t>
          </w:r>
          <w:r w:rsidRPr="00C165FA">
            <w:rPr>
              <w:color w:val="000000"/>
              <w:szCs w:val="22"/>
              <w:lang w:eastAsia="en-AU"/>
            </w:rPr>
            <w:t>.</w:t>
          </w:r>
        </w:p>
        <w:p w:rsidR="00263799" w:rsidRPr="00263799" w:rsidRDefault="00263799" w:rsidP="00263799">
          <w:pPr>
            <w:shd w:val="clear" w:color="auto" w:fill="FFFFFF"/>
            <w:spacing w:after="160"/>
            <w:jc w:val="left"/>
            <w:rPr>
              <w:b/>
              <w:color w:val="000000"/>
              <w:szCs w:val="22"/>
              <w:lang w:eastAsia="en-AU"/>
            </w:rPr>
          </w:pPr>
          <w:r w:rsidRPr="00263799">
            <w:rPr>
              <w:b/>
              <w:color w:val="000000"/>
              <w:szCs w:val="22"/>
              <w:lang w:eastAsia="en-AU"/>
            </w:rPr>
            <w:t>Clause 4.4 – Background</w:t>
          </w:r>
        </w:p>
        <w:p w:rsidR="00263799" w:rsidRPr="00263799" w:rsidRDefault="00263799" w:rsidP="00520E3B">
          <w:pPr>
            <w:shd w:val="clear" w:color="auto" w:fill="FFFFFF"/>
            <w:spacing w:after="160"/>
            <w:rPr>
              <w:color w:val="000000"/>
              <w:szCs w:val="22"/>
              <w:lang w:eastAsia="en-AU"/>
            </w:rPr>
          </w:pPr>
          <w:r w:rsidRPr="00263799">
            <w:rPr>
              <w:color w:val="000000"/>
              <w:szCs w:val="22"/>
              <w:lang w:eastAsia="en-AU"/>
            </w:rPr>
            <w:t xml:space="preserve">CLEP 2015 commenced operation on 11 March 2016 and provides development controls and standards for the majority of land in the </w:t>
          </w:r>
          <w:r w:rsidR="00520E3B">
            <w:rPr>
              <w:color w:val="000000"/>
              <w:szCs w:val="22"/>
              <w:lang w:eastAsia="en-AU"/>
            </w:rPr>
            <w:t>LGA</w:t>
          </w:r>
          <w:r w:rsidRPr="00263799">
            <w:rPr>
              <w:color w:val="000000"/>
              <w:szCs w:val="22"/>
              <w:lang w:eastAsia="en-AU"/>
            </w:rPr>
            <w:t>. Clause 4.4 of CLEP 2015 is a Standard Instrument LEP clause providing FSR objectives and floor area controls for buildings in the majority of the LGA.</w:t>
          </w:r>
        </w:p>
        <w:p w:rsidR="00263799" w:rsidRPr="00263799" w:rsidRDefault="00263799" w:rsidP="00520E3B">
          <w:pPr>
            <w:shd w:val="clear" w:color="auto" w:fill="FFFFFF"/>
            <w:spacing w:after="160"/>
            <w:rPr>
              <w:color w:val="000000"/>
              <w:szCs w:val="22"/>
              <w:lang w:eastAsia="en-AU"/>
            </w:rPr>
          </w:pPr>
          <w:r w:rsidRPr="00263799">
            <w:rPr>
              <w:color w:val="000000"/>
              <w:szCs w:val="22"/>
              <w:lang w:eastAsia="en-AU"/>
            </w:rPr>
            <w:t xml:space="preserve">At the commencement of CLEP 2015, Clause 4.4 comprised only of subclauses 4.4(1) - (2A) in their current form. Subclause 4.4(1) provides the objectives of clause 4.4 and subclause 4.4(2) prescribes the maximum floor space ratio for buildings as per the Floor Space Ratio Map of CLEP 2015. </w:t>
          </w:r>
        </w:p>
        <w:p w:rsidR="00263799" w:rsidRPr="00263799" w:rsidRDefault="00263799" w:rsidP="00520E3B">
          <w:pPr>
            <w:shd w:val="clear" w:color="auto" w:fill="FFFFFF"/>
            <w:spacing w:after="160"/>
            <w:rPr>
              <w:color w:val="000000"/>
              <w:szCs w:val="22"/>
              <w:lang w:eastAsia="en-AU"/>
            </w:rPr>
          </w:pPr>
          <w:r w:rsidRPr="00263799">
            <w:rPr>
              <w:color w:val="000000"/>
              <w:szCs w:val="22"/>
              <w:lang w:eastAsia="en-AU"/>
            </w:rPr>
            <w:t>Subclause 4.4(2A) is a local provision prescribing additional FSR controls for specified developments separate to the Floor Space Ratio Map. This subclause provides FSR requirements for different development types in different zones, including specified development types in the R2 and R3 residential zones. Subclause (2A) operates to control floor space instead of the Floor Space Ratio Map given the difficulties in providing a single LEP map layer for different development scenarios. In this regard, the Floor Space Ratio Map under CLEP 2015 does not generally provide FSR controls for the R2 and R3 residential zones.</w:t>
          </w:r>
        </w:p>
        <w:p w:rsidR="00263799" w:rsidRPr="00263799" w:rsidRDefault="00263799" w:rsidP="00520E3B">
          <w:pPr>
            <w:shd w:val="clear" w:color="auto" w:fill="FFFFFF"/>
            <w:spacing w:after="160"/>
            <w:rPr>
              <w:color w:val="000000"/>
              <w:szCs w:val="22"/>
              <w:lang w:eastAsia="en-AU"/>
            </w:rPr>
          </w:pPr>
          <w:r w:rsidRPr="00263799">
            <w:rPr>
              <w:color w:val="000000"/>
              <w:szCs w:val="22"/>
              <w:lang w:eastAsia="en-AU"/>
            </w:rPr>
            <w:t>Subclauses 4.4(2B) and 4.4 (2C) were inserted by Council under separate planning proposals and came into effect the same day, 29 April 2022. Relevant details regarding the making and effect of these subclauses are provided below.</w:t>
          </w:r>
        </w:p>
        <w:p w:rsidR="00263799" w:rsidRPr="00520E3B" w:rsidRDefault="00263799" w:rsidP="007E0424">
          <w:pPr>
            <w:shd w:val="clear" w:color="auto" w:fill="FFFFFF"/>
            <w:spacing w:after="160" w:line="259" w:lineRule="auto"/>
            <w:contextualSpacing/>
            <w:rPr>
              <w:b/>
              <w:color w:val="000000"/>
              <w:szCs w:val="22"/>
              <w:lang w:eastAsia="en-AU"/>
            </w:rPr>
          </w:pPr>
          <w:r w:rsidRPr="00520E3B">
            <w:rPr>
              <w:b/>
              <w:color w:val="000000"/>
              <w:szCs w:val="22"/>
              <w:lang w:eastAsia="en-AU"/>
            </w:rPr>
            <w:t xml:space="preserve">Clause 4.4(2B) </w:t>
          </w:r>
          <w:r w:rsidR="00B32D7F" w:rsidRPr="00520E3B">
            <w:rPr>
              <w:b/>
              <w:color w:val="000000"/>
              <w:szCs w:val="22"/>
              <w:lang w:eastAsia="en-AU"/>
            </w:rPr>
            <w:t xml:space="preserve">of </w:t>
          </w:r>
          <w:r w:rsidR="00B32D7F">
            <w:rPr>
              <w:b/>
              <w:color w:val="000000"/>
              <w:szCs w:val="22"/>
              <w:lang w:eastAsia="en-AU"/>
            </w:rPr>
            <w:t>Campbelltown Local Environment Plan 2015</w:t>
          </w:r>
        </w:p>
        <w:p w:rsidR="00520E3B" w:rsidRPr="00263799" w:rsidRDefault="00520E3B" w:rsidP="00520E3B">
          <w:pPr>
            <w:shd w:val="clear" w:color="auto" w:fill="FFFFFF"/>
            <w:spacing w:after="160" w:line="259" w:lineRule="auto"/>
            <w:ind w:left="360"/>
            <w:contextualSpacing/>
            <w:rPr>
              <w:color w:val="000000"/>
              <w:szCs w:val="22"/>
              <w:lang w:eastAsia="en-AU"/>
            </w:rPr>
          </w:pP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Clause 4.4 (2B) came into effect as a result of the making of the Planning Proposal for the Mount Gilead Urban Release Area (Amendment 27), endorsed by Council at its meeting of 2 November 2021. The Planning Proposal (page 19) provided the following rationale for the insertion of the subclause:</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“Currently, Clause 4.4(2A) is drafted such that the defined floor space controls are in addition to the Floor Space Ratio Map.</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Under the current CLEP 2015, this would result in future dwellings having a permissible floor space ratio of 0.55 (map) + 0.55 (Clause 4.4(2A) being 1.1:1 which is excessive.</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This outcome would be an unintended consequence arising from the translation of Council’s LEP into the standard format in 2015 and gazettal of the Mt Gilead Precinct in 2017. Therefore, it is recommended that Clause 4.4(2A) be amended to exclude its application for areas shown on the Urban Release Area Map.”</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The making of the Planning Proposal (Amendment 27) on 29 April 2022 resulted in the insertion of subclause (2B) as follows:</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(2B)  Subclause (2A) does not apply to land identified as “Mount Gilead Urban Release Area” on the Urban Release Area Map.</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 xml:space="preserve">The effect of subclause (2B) is that land identified as “Mount Gilead Urban Release Area” on the Urban Release Area Map (URA Map) is excluded from the application of subclause (2A), meaning that FSR would only be prescribed for that land under the Floor Space Ratio Map. This subclause therefore removed the opportunity for an additional FSR ‘bonus’ to be granted within the Mount Gilead URA for those development types listed under Clause 4.4(2A). </w:t>
          </w:r>
        </w:p>
        <w:p w:rsidR="00263799" w:rsidRDefault="00263799" w:rsidP="007E0424">
          <w:pPr>
            <w:shd w:val="clear" w:color="auto" w:fill="FFFFFF"/>
            <w:spacing w:after="160" w:line="259" w:lineRule="auto"/>
            <w:contextualSpacing/>
            <w:jc w:val="left"/>
            <w:rPr>
              <w:b/>
              <w:color w:val="000000"/>
              <w:szCs w:val="22"/>
              <w:lang w:eastAsia="en-AU"/>
            </w:rPr>
          </w:pPr>
          <w:r w:rsidRPr="00520E3B">
            <w:rPr>
              <w:b/>
              <w:color w:val="000000"/>
              <w:szCs w:val="22"/>
              <w:lang w:eastAsia="en-AU"/>
            </w:rPr>
            <w:t xml:space="preserve">Clause 4.4(2C) of </w:t>
          </w:r>
          <w:r w:rsidR="00B32D7F">
            <w:rPr>
              <w:b/>
              <w:color w:val="000000"/>
              <w:szCs w:val="22"/>
              <w:lang w:eastAsia="en-AU"/>
            </w:rPr>
            <w:t>Campbelltown Local Environment Plan 2015</w:t>
          </w:r>
        </w:p>
        <w:p w:rsidR="00520E3B" w:rsidRPr="00520E3B" w:rsidRDefault="00520E3B" w:rsidP="00520E3B">
          <w:pPr>
            <w:shd w:val="clear" w:color="auto" w:fill="FFFFFF"/>
            <w:spacing w:after="160" w:line="259" w:lineRule="auto"/>
            <w:ind w:left="360"/>
            <w:contextualSpacing/>
            <w:jc w:val="left"/>
            <w:rPr>
              <w:b/>
              <w:color w:val="000000"/>
              <w:szCs w:val="22"/>
              <w:lang w:eastAsia="en-AU"/>
            </w:rPr>
          </w:pP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 xml:space="preserve">Clause 4.4 (2C) came into effect as a result of the making of the </w:t>
          </w:r>
          <w:r w:rsidR="00B32D7F">
            <w:rPr>
              <w:color w:val="000000"/>
              <w:szCs w:val="22"/>
              <w:lang w:eastAsia="en-AU"/>
            </w:rPr>
            <w:t>PP</w:t>
          </w:r>
          <w:r w:rsidRPr="00263799">
            <w:rPr>
              <w:color w:val="000000"/>
              <w:szCs w:val="22"/>
              <w:lang w:eastAsia="en-AU"/>
            </w:rPr>
            <w:t xml:space="preserve"> for the Menangle Park URA (Amendment 27), endorsed by Council at its meeting of 8 March 2022. The Planning Proposal (pages 2 and 3) provided the following reasoning for the insertion of clause 2(C):</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“Currently, Clause 4.4(2A) is drafted such that the defined floor space controls are in addition to the Floor Space Ratio Map. Under the current CLEP 2015, this would result in future dwellings having a permissible floor space ratio of 0.55 (map) + 0.55 (Clause 4.4(2A) being 1.1:1 which is excessive.</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This outcome would be an unintended consequence arising from the translation of Council’s LEP into the standard format in 2015 and gazettal of the MPURA in 2017. Therefore, it is recommended that Clause 4.4(2A) be amended to exclude its application for areas shown on the Urban Release Area Map.”</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The Planning Proposal for the Menangle Park URA was made on 29 April 2022 and resulted in a different amendment to that contemplated by Council, with the insertion of subclause (2C) as follows:</w:t>
          </w:r>
        </w:p>
        <w:p w:rsidR="00263799" w:rsidRPr="00263799" w:rsidRDefault="00263799" w:rsidP="000557D7">
          <w:pPr>
            <w:shd w:val="clear" w:color="auto" w:fill="FFFFFF"/>
            <w:spacing w:after="160"/>
            <w:ind w:left="567"/>
            <w:rPr>
              <w:color w:val="000000"/>
              <w:szCs w:val="22"/>
              <w:lang w:eastAsia="en-AU"/>
            </w:rPr>
          </w:pPr>
          <w:r w:rsidRPr="00263799">
            <w:rPr>
              <w:color w:val="000000"/>
              <w:szCs w:val="22"/>
              <w:lang w:eastAsia="en-AU"/>
            </w:rPr>
            <w:t>2(C) To avoid doubt, subclause (2A) does not apply to land for which a floor space ratio is not shown on the Floor Space Ratio Map.</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The insertion of subclause 2(C) by DPE in lieu of the proposed amendment to subclause (2A) put forward by Council had the effect of removing the FSR provision under Clause (2A) for the vast majority of residential zoned land in the CLEP 2015 area.</w:t>
          </w:r>
        </w:p>
        <w:p w:rsidR="00263799" w:rsidRPr="00263799" w:rsidRDefault="00263799" w:rsidP="000557D7">
          <w:pPr>
            <w:shd w:val="clear" w:color="auto" w:fill="FFFFFF"/>
            <w:spacing w:after="160"/>
            <w:rPr>
              <w:b/>
              <w:color w:val="000000"/>
              <w:szCs w:val="22"/>
              <w:lang w:eastAsia="en-AU"/>
            </w:rPr>
          </w:pPr>
          <w:r w:rsidRPr="00263799">
            <w:rPr>
              <w:b/>
              <w:color w:val="000000"/>
              <w:szCs w:val="22"/>
              <w:lang w:eastAsia="en-AU"/>
            </w:rPr>
            <w:t>Clause 4.4 – Key Issues</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A number of key issues have been identified that are impacting the effective operation of the floor space ratio provisions of clause 4.4 CLEP 2015 having regard to the objectives of the clause. A summary of these issues is provided below.</w:t>
          </w:r>
        </w:p>
        <w:p w:rsidR="00263799" w:rsidRPr="00263799" w:rsidRDefault="00263799" w:rsidP="000557D7">
          <w:pPr>
            <w:numPr>
              <w:ilvl w:val="0"/>
              <w:numId w:val="27"/>
            </w:numPr>
            <w:shd w:val="clear" w:color="auto" w:fill="FFFFFF"/>
            <w:spacing w:after="160"/>
            <w:ind w:left="567" w:hanging="567"/>
            <w:contextualSpacing/>
            <w:rPr>
              <w:color w:val="000000"/>
              <w:szCs w:val="22"/>
              <w:lang w:eastAsia="en-AU"/>
            </w:rPr>
          </w:pPr>
          <w:r w:rsidRPr="00053733">
            <w:rPr>
              <w:b/>
              <w:color w:val="000000"/>
              <w:szCs w:val="22"/>
              <w:lang w:eastAsia="en-AU"/>
            </w:rPr>
            <w:t>Unintended FSR ‘bonus’</w:t>
          </w:r>
          <w:r w:rsidRPr="00263799">
            <w:rPr>
              <w:color w:val="000000"/>
              <w:szCs w:val="22"/>
              <w:lang w:eastAsia="en-AU"/>
            </w:rPr>
            <w:t xml:space="preserve"> - Clause 4.4(2A) is drafted such that it provides a bonus floor space allowance to that shown on the Floor Space Ratio Map, which was never intended and is contrary to the objectives of the clause to promote compatibility in the bulk and scale of buildings. Under the current CLEP 2015, this would potentially result in future dwellings having a permissible floor space ratio of 0.55 (map) + 0.55 (Clause 4.4(2A) being 1.1:1 which is excessive. </w:t>
          </w:r>
        </w:p>
        <w:p w:rsidR="00263799" w:rsidRPr="00263799" w:rsidRDefault="00263799" w:rsidP="00053733">
          <w:pPr>
            <w:shd w:val="clear" w:color="auto" w:fill="FFFFFF"/>
            <w:spacing w:after="160"/>
            <w:ind w:left="567" w:hanging="567"/>
            <w:contextualSpacing/>
            <w:jc w:val="left"/>
            <w:rPr>
              <w:color w:val="000000"/>
              <w:szCs w:val="22"/>
              <w:lang w:eastAsia="en-AU"/>
            </w:rPr>
          </w:pPr>
        </w:p>
        <w:p w:rsidR="00263799" w:rsidRPr="00263799" w:rsidRDefault="00263799" w:rsidP="000557D7">
          <w:pPr>
            <w:numPr>
              <w:ilvl w:val="0"/>
              <w:numId w:val="27"/>
            </w:numPr>
            <w:shd w:val="clear" w:color="auto" w:fill="FFFFFF"/>
            <w:spacing w:after="160"/>
            <w:ind w:left="567" w:hanging="567"/>
            <w:contextualSpacing/>
            <w:rPr>
              <w:color w:val="000000"/>
              <w:szCs w:val="22"/>
              <w:lang w:eastAsia="en-AU"/>
            </w:rPr>
          </w:pPr>
          <w:r w:rsidRPr="00053733">
            <w:rPr>
              <w:b/>
              <w:color w:val="000000"/>
              <w:szCs w:val="22"/>
              <w:lang w:eastAsia="en-AU"/>
            </w:rPr>
            <w:t>Role of subclause 2(C)</w:t>
          </w:r>
          <w:r w:rsidRPr="00263799">
            <w:rPr>
              <w:color w:val="000000"/>
              <w:szCs w:val="22"/>
              <w:lang w:eastAsia="en-AU"/>
            </w:rPr>
            <w:t xml:space="preserve"> – The insertion of subclause (2C) was made under CLEP 2015 (Amendment 26) and was intended to remove the opportunity of a FSR bonus for land nominated on the Floor Space Ratio Map within the Menangle Park URA. It is apparent that the effect of the subclause is not aligning with its intent, given that subclause applies to all land under CLEP 2015 and effectively removes the FSR provision under subclause (2A) for the vast majority of residential zoned land in the Campbelltown LGA.</w:t>
          </w:r>
        </w:p>
        <w:p w:rsidR="00263799" w:rsidRPr="00263799" w:rsidRDefault="00263799" w:rsidP="000557D7">
          <w:pPr>
            <w:shd w:val="clear" w:color="auto" w:fill="FFFFFF"/>
            <w:spacing w:after="160"/>
            <w:ind w:left="567" w:hanging="567"/>
            <w:contextualSpacing/>
            <w:rPr>
              <w:color w:val="000000"/>
              <w:szCs w:val="22"/>
              <w:lang w:eastAsia="en-AU"/>
            </w:rPr>
          </w:pPr>
        </w:p>
        <w:p w:rsidR="00263799" w:rsidRPr="00263799" w:rsidRDefault="00263799" w:rsidP="000557D7">
          <w:pPr>
            <w:numPr>
              <w:ilvl w:val="0"/>
              <w:numId w:val="26"/>
            </w:numPr>
            <w:shd w:val="clear" w:color="auto" w:fill="FFFFFF"/>
            <w:spacing w:after="160"/>
            <w:ind w:left="567" w:hanging="567"/>
            <w:contextualSpacing/>
            <w:rPr>
              <w:color w:val="000000"/>
              <w:szCs w:val="22"/>
              <w:lang w:eastAsia="en-AU"/>
            </w:rPr>
          </w:pPr>
          <w:r w:rsidRPr="00053733">
            <w:rPr>
              <w:b/>
              <w:color w:val="000000"/>
              <w:szCs w:val="22"/>
              <w:lang w:eastAsia="en-AU"/>
            </w:rPr>
            <w:t>Land exclusions under subclause (2B)</w:t>
          </w:r>
          <w:r w:rsidRPr="00263799">
            <w:rPr>
              <w:b/>
              <w:color w:val="000000"/>
              <w:szCs w:val="22"/>
              <w:lang w:eastAsia="en-AU"/>
            </w:rPr>
            <w:t xml:space="preserve"> </w:t>
          </w:r>
          <w:r w:rsidRPr="00263799">
            <w:rPr>
              <w:color w:val="000000"/>
              <w:szCs w:val="22"/>
              <w:lang w:eastAsia="en-AU"/>
            </w:rPr>
            <w:t>- The effect of subclause (2B) is that land identified within the Mount Gilead URA is excluded from the application of subclause (2A), removing the opportunity for an additional and unintended FSR ‘bonus’ for land identified on the Floor Space Ratio Map. The rationale to exclude the Mount Gilead URA land from subclause (2A) would also apply to all other land proposed to be included on the Floor Space Ratio Map of CLEP 2015. These areas include the Menangle Park URA and other any other land placed on the Floor Space Ratio Map of CLEP 2015.</w:t>
          </w:r>
        </w:p>
        <w:p w:rsidR="00263799" w:rsidRPr="00263799" w:rsidRDefault="00263799" w:rsidP="00B32D7F">
          <w:pPr>
            <w:numPr>
              <w:ilvl w:val="0"/>
              <w:numId w:val="27"/>
            </w:numPr>
            <w:shd w:val="clear" w:color="auto" w:fill="FFFFFF"/>
            <w:spacing w:after="160"/>
            <w:ind w:left="567" w:hanging="567"/>
            <w:contextualSpacing/>
            <w:rPr>
              <w:color w:val="000000"/>
              <w:szCs w:val="22"/>
              <w:lang w:eastAsia="en-AU"/>
            </w:rPr>
          </w:pPr>
          <w:r w:rsidRPr="00053733">
            <w:rPr>
              <w:b/>
              <w:color w:val="000000"/>
              <w:szCs w:val="22"/>
              <w:lang w:eastAsia="en-AU"/>
            </w:rPr>
            <w:t>Complexity and uncertainty</w:t>
          </w:r>
          <w:r w:rsidRPr="00263799">
            <w:rPr>
              <w:color w:val="000000"/>
              <w:szCs w:val="22"/>
              <w:lang w:eastAsia="en-AU"/>
            </w:rPr>
            <w:t xml:space="preserve"> - The interplay of subclauses (2A), (2B) and (2C) to determine the applicable FSR for any particular land parcel or prescribed land use is creating additional complexity and uncertainty for development assessment under CLEP 2015. This complexity and uncertainty is undermining the consistent and uniform application of FSR controls for new buildings under Clause 4.4 in accordance with the objectives of the clause.</w:t>
          </w:r>
        </w:p>
        <w:p w:rsidR="00263799" w:rsidRPr="00263799" w:rsidRDefault="00263799" w:rsidP="000557D7">
          <w:pPr>
            <w:shd w:val="clear" w:color="auto" w:fill="FFFFFF"/>
            <w:spacing w:after="160"/>
            <w:ind w:left="720"/>
            <w:contextualSpacing/>
            <w:rPr>
              <w:color w:val="000000"/>
              <w:szCs w:val="22"/>
              <w:lang w:eastAsia="en-AU"/>
            </w:rPr>
          </w:pPr>
        </w:p>
        <w:p w:rsidR="00263799" w:rsidRPr="00263799" w:rsidRDefault="00263799" w:rsidP="000557D7">
          <w:pPr>
            <w:shd w:val="clear" w:color="auto" w:fill="FFFFFF"/>
            <w:spacing w:after="160"/>
            <w:rPr>
              <w:b/>
              <w:color w:val="000000"/>
              <w:szCs w:val="22"/>
              <w:lang w:eastAsia="en-AU"/>
            </w:rPr>
          </w:pPr>
          <w:r w:rsidRPr="00263799">
            <w:rPr>
              <w:b/>
              <w:color w:val="000000"/>
              <w:szCs w:val="22"/>
              <w:lang w:eastAsia="en-AU"/>
            </w:rPr>
            <w:t>Consultation with the Department of Planning and Environment</w:t>
          </w:r>
        </w:p>
        <w:p w:rsidR="00263799" w:rsidRDefault="00263799" w:rsidP="00B32D7F">
          <w:pPr>
            <w:shd w:val="clear" w:color="auto" w:fill="FFFFFF"/>
            <w:rPr>
              <w:color w:val="000000"/>
              <w:szCs w:val="22"/>
              <w:lang w:eastAsia="en-AU"/>
            </w:rPr>
          </w:pPr>
          <w:r w:rsidRPr="00263799">
            <w:rPr>
              <w:color w:val="000000"/>
              <w:szCs w:val="22"/>
              <w:lang w:eastAsia="en-AU"/>
            </w:rPr>
            <w:t>Council staff have consulted with the Department of Planning and Environment (DPE) regarding those issues outlined above impacting the effective and consistent application of FSR standards for new developments considered under Clause 4.4 of CLEP 2015.</w:t>
          </w:r>
        </w:p>
        <w:p w:rsidR="00B32D7F" w:rsidRPr="00263799" w:rsidRDefault="00B32D7F" w:rsidP="00B32D7F">
          <w:pPr>
            <w:shd w:val="clear" w:color="auto" w:fill="FFFFFF"/>
            <w:rPr>
              <w:color w:val="000000"/>
              <w:szCs w:val="22"/>
              <w:lang w:eastAsia="en-AU"/>
            </w:rPr>
          </w:pPr>
        </w:p>
        <w:p w:rsidR="00263799" w:rsidRDefault="00263799" w:rsidP="00B32D7F">
          <w:pPr>
            <w:shd w:val="clear" w:color="auto" w:fill="FFFFFF"/>
            <w:rPr>
              <w:color w:val="000000"/>
              <w:szCs w:val="22"/>
              <w:lang w:eastAsia="en-AU"/>
            </w:rPr>
          </w:pPr>
          <w:r w:rsidRPr="00263799">
            <w:rPr>
              <w:color w:val="000000"/>
              <w:szCs w:val="22"/>
              <w:lang w:eastAsia="en-AU"/>
            </w:rPr>
            <w:t>DPE has acknowledged the issues raised by Council and has confirmed that a new planning proposal would be required to appropriately amend the provisions of Clause 4.4.</w:t>
          </w:r>
        </w:p>
        <w:p w:rsidR="00B32D7F" w:rsidRPr="00263799" w:rsidRDefault="00B32D7F" w:rsidP="00B32D7F">
          <w:pPr>
            <w:shd w:val="clear" w:color="auto" w:fill="FFFFFF"/>
            <w:rPr>
              <w:color w:val="000000"/>
              <w:szCs w:val="22"/>
              <w:lang w:eastAsia="en-AU"/>
            </w:rPr>
          </w:pPr>
        </w:p>
        <w:p w:rsidR="00263799" w:rsidRDefault="00263799" w:rsidP="00B32D7F">
          <w:pPr>
            <w:shd w:val="clear" w:color="auto" w:fill="FFFFFF"/>
            <w:rPr>
              <w:color w:val="000000"/>
              <w:szCs w:val="22"/>
              <w:lang w:eastAsia="en-AU"/>
            </w:rPr>
          </w:pPr>
          <w:r w:rsidRPr="00263799">
            <w:rPr>
              <w:color w:val="000000"/>
              <w:szCs w:val="22"/>
              <w:lang w:eastAsia="en-AU"/>
            </w:rPr>
            <w:t>The recommended amendment of Clause 4.4 through a new planning proposal is consistent with the advice received from DPE on the matter.</w:t>
          </w:r>
        </w:p>
        <w:p w:rsidR="00B32D7F" w:rsidRPr="00263799" w:rsidRDefault="00B32D7F" w:rsidP="00B32D7F">
          <w:pPr>
            <w:shd w:val="clear" w:color="auto" w:fill="FFFFFF"/>
            <w:rPr>
              <w:color w:val="000000"/>
              <w:szCs w:val="22"/>
              <w:lang w:eastAsia="en-AU"/>
            </w:rPr>
          </w:pPr>
        </w:p>
        <w:p w:rsidR="00263799" w:rsidRPr="00263799" w:rsidRDefault="00263799" w:rsidP="000557D7">
          <w:pPr>
            <w:shd w:val="clear" w:color="auto" w:fill="FFFFFF"/>
            <w:spacing w:after="160"/>
            <w:rPr>
              <w:b/>
              <w:color w:val="000000"/>
              <w:szCs w:val="22"/>
              <w:lang w:eastAsia="en-AU"/>
            </w:rPr>
          </w:pPr>
          <w:r w:rsidRPr="00263799">
            <w:rPr>
              <w:b/>
              <w:color w:val="000000"/>
              <w:szCs w:val="22"/>
              <w:lang w:eastAsia="en-AU"/>
            </w:rPr>
            <w:t>Recommended Amendments to Clause 4.4</w:t>
          </w:r>
        </w:p>
        <w:p w:rsidR="00263799" w:rsidRPr="00263799" w:rsidRDefault="00263799" w:rsidP="000557D7">
          <w:pPr>
            <w:shd w:val="clear" w:color="auto" w:fill="FFFFFF"/>
            <w:spacing w:after="160"/>
            <w:rPr>
              <w:color w:val="000000"/>
              <w:szCs w:val="22"/>
              <w:lang w:eastAsia="en-AU"/>
            </w:rPr>
          </w:pPr>
          <w:r w:rsidRPr="00263799">
            <w:rPr>
              <w:color w:val="000000"/>
              <w:szCs w:val="22"/>
              <w:lang w:eastAsia="en-AU"/>
            </w:rPr>
            <w:t>The proposed amendments to Clause 4.4 to address the key issues raised in this report are discussed below.</w:t>
          </w:r>
        </w:p>
        <w:p w:rsidR="00263799" w:rsidRPr="000557D7" w:rsidRDefault="00263799" w:rsidP="000557D7">
          <w:pPr>
            <w:shd w:val="clear" w:color="auto" w:fill="FFFFFF"/>
            <w:spacing w:after="160"/>
            <w:rPr>
              <w:b/>
              <w:color w:val="000000"/>
              <w:szCs w:val="22"/>
              <w:lang w:eastAsia="en-AU"/>
            </w:rPr>
          </w:pPr>
          <w:r w:rsidRPr="000557D7">
            <w:rPr>
              <w:b/>
              <w:color w:val="000000"/>
              <w:szCs w:val="22"/>
              <w:lang w:eastAsia="en-AU"/>
            </w:rPr>
            <w:t xml:space="preserve">Recommended amendment to subclause 4.4(1): </w:t>
          </w:r>
        </w:p>
        <w:tbl>
          <w:tblPr>
            <w:tblStyle w:val="TableGrid1"/>
            <w:tblW w:w="0" w:type="auto"/>
            <w:tblInd w:w="-5" w:type="dxa"/>
            <w:tblLook w:val="04A0" w:firstRow="1" w:lastRow="0" w:firstColumn="1" w:lastColumn="0" w:noHBand="0" w:noVBand="1"/>
          </w:tblPr>
          <w:tblGrid>
            <w:gridCol w:w="1465"/>
            <w:gridCol w:w="7556"/>
          </w:tblGrid>
          <w:tr w:rsidR="00263799" w:rsidRPr="000557D7"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Existing subclause</w:t>
                </w:r>
              </w:p>
            </w:tc>
            <w:tc>
              <w:tcPr>
                <w:tcW w:w="7556" w:type="dxa"/>
              </w:tcPr>
              <w:p w:rsidR="00263799" w:rsidRPr="000557D7" w:rsidRDefault="00263799" w:rsidP="00263799">
                <w:pPr>
                  <w:jc w:val="left"/>
                  <w:rPr>
                    <w:color w:val="000000"/>
                    <w:szCs w:val="22"/>
                    <w:lang w:eastAsia="en-AU"/>
                  </w:rPr>
                </w:pPr>
                <w:r w:rsidRPr="000557D7">
                  <w:rPr>
                    <w:color w:val="000000"/>
                    <w:szCs w:val="22"/>
                    <w:lang w:eastAsia="en-AU"/>
                  </w:rPr>
                  <w:t>(1) The objectives of this clause are as follows—</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provide effective control over the bulk and scale of future development,</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nominate a range of floor space ratio controls that will provide a transition in built form and land use intensity across all zones,</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ensure that buildings are compatible with the bulk and scale of the existing and desired future character of the locality,</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ensure that the bulk and scale of buildings contribute to the intended architectural outcomes for development appropriate to the locality and reflect their proximity to the business centres and transport facilities,</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provide for built form that is compatible with the hierarchy and role of centres,</w:t>
                </w:r>
              </w:p>
              <w:p w:rsidR="00263799" w:rsidRPr="007E0424" w:rsidRDefault="00263799" w:rsidP="007E0424">
                <w:pPr>
                  <w:pStyle w:val="ListParagraph"/>
                  <w:numPr>
                    <w:ilvl w:val="0"/>
                    <w:numId w:val="29"/>
                  </w:numPr>
                  <w:jc w:val="left"/>
                  <w:rPr>
                    <w:color w:val="000000"/>
                    <w:szCs w:val="22"/>
                    <w:lang w:eastAsia="en-AU"/>
                  </w:rPr>
                </w:pPr>
                <w:r w:rsidRPr="007E0424">
                  <w:rPr>
                    <w:color w:val="000000"/>
                    <w:szCs w:val="22"/>
                    <w:lang w:eastAsia="en-AU"/>
                  </w:rPr>
                  <w:t>to assist in the minimisation of opportunities for undesirable visual impact, disruption to views, loss of privacy and loss of solar access to existing and future development and the public domain is addressed,</w:t>
                </w:r>
              </w:p>
              <w:p w:rsidR="00263799" w:rsidRPr="007E0424" w:rsidRDefault="00263799" w:rsidP="007E0424">
                <w:pPr>
                  <w:pStyle w:val="ListParagraph"/>
                  <w:numPr>
                    <w:ilvl w:val="0"/>
                    <w:numId w:val="29"/>
                  </w:numPr>
                  <w:spacing w:after="160" w:line="259" w:lineRule="auto"/>
                  <w:jc w:val="left"/>
                  <w:rPr>
                    <w:color w:val="000000"/>
                    <w:szCs w:val="22"/>
                    <w:lang w:eastAsia="en-AU"/>
                  </w:rPr>
                </w:pPr>
                <w:r w:rsidRPr="007E0424">
                  <w:rPr>
                    <w:color w:val="000000"/>
                    <w:szCs w:val="22"/>
                    <w:lang w:eastAsia="en-AU"/>
                  </w:rPr>
                  <w:t>to minimise the adverse impacts of development on heritage conservation areas, heritage items and the public domain.</w:t>
                </w:r>
              </w:p>
            </w:tc>
          </w:tr>
          <w:tr w:rsidR="00263799" w:rsidRPr="000557D7" w:rsidTr="00BA44B5">
            <w:tc>
              <w:tcPr>
                <w:tcW w:w="1465" w:type="dxa"/>
              </w:tcPr>
              <w:p w:rsidR="00263799" w:rsidRPr="000557D7" w:rsidRDefault="00263799" w:rsidP="00263799">
                <w:pPr>
                  <w:spacing w:after="160" w:line="259" w:lineRule="auto"/>
                  <w:jc w:val="left"/>
                  <w:rPr>
                    <w:b/>
                    <w:color w:val="000000"/>
                    <w:szCs w:val="22"/>
                    <w:lang w:eastAsia="en-AU"/>
                  </w:rPr>
                </w:pPr>
                <w:r w:rsidRPr="000557D7">
                  <w:rPr>
                    <w:b/>
                    <w:color w:val="000000"/>
                    <w:szCs w:val="22"/>
                    <w:lang w:eastAsia="en-AU"/>
                  </w:rPr>
                  <w:t>Proposed amended subclause</w:t>
                </w:r>
              </w:p>
            </w:tc>
            <w:tc>
              <w:tcPr>
                <w:tcW w:w="7556" w:type="dxa"/>
              </w:tcPr>
              <w:p w:rsidR="00263799" w:rsidRPr="000557D7" w:rsidRDefault="00263799" w:rsidP="00263799">
                <w:pPr>
                  <w:jc w:val="left"/>
                  <w:rPr>
                    <w:color w:val="000000"/>
                    <w:szCs w:val="22"/>
                    <w:lang w:eastAsia="en-AU"/>
                  </w:rPr>
                </w:pPr>
                <w:r w:rsidRPr="000557D7">
                  <w:rPr>
                    <w:color w:val="000000"/>
                    <w:szCs w:val="22"/>
                    <w:lang w:eastAsia="en-AU"/>
                  </w:rPr>
                  <w:t>No amendments proposed.</w:t>
                </w:r>
              </w:p>
            </w:tc>
          </w:tr>
          <w:tr w:rsidR="00263799" w:rsidRPr="000557D7"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Reason</w:t>
                </w:r>
              </w:p>
            </w:tc>
            <w:tc>
              <w:tcPr>
                <w:tcW w:w="7556" w:type="dxa"/>
              </w:tcPr>
              <w:p w:rsidR="00263799" w:rsidRPr="000557D7" w:rsidRDefault="00263799" w:rsidP="00C165FA">
                <w:pPr>
                  <w:jc w:val="left"/>
                  <w:rPr>
                    <w:color w:val="000000"/>
                    <w:szCs w:val="22"/>
                    <w:lang w:eastAsia="en-AU"/>
                  </w:rPr>
                </w:pPr>
                <w:r w:rsidRPr="000557D7">
                  <w:rPr>
                    <w:color w:val="000000"/>
                    <w:szCs w:val="22"/>
                    <w:lang w:eastAsia="en-AU"/>
                  </w:rPr>
                  <w:t>Objectives for the FSR standards are appropriate</w:t>
                </w:r>
                <w:r w:rsidR="00C165FA">
                  <w:rPr>
                    <w:color w:val="000000"/>
                    <w:szCs w:val="22"/>
                    <w:lang w:eastAsia="en-AU"/>
                  </w:rPr>
                  <w:t xml:space="preserve"> to the operation of the clause</w:t>
                </w:r>
                <w:r w:rsidRPr="000557D7">
                  <w:rPr>
                    <w:color w:val="000000"/>
                    <w:szCs w:val="22"/>
                    <w:lang w:eastAsia="en-AU"/>
                  </w:rPr>
                  <w:t>, and no issues identified to warrant amendment.</w:t>
                </w:r>
              </w:p>
            </w:tc>
          </w:tr>
        </w:tbl>
        <w:p w:rsidR="00263799" w:rsidRDefault="00263799" w:rsidP="00263799">
          <w:pPr>
            <w:shd w:val="clear" w:color="auto" w:fill="FFFFFF"/>
            <w:spacing w:after="160"/>
            <w:ind w:left="720"/>
            <w:contextualSpacing/>
            <w:jc w:val="left"/>
            <w:rPr>
              <w:color w:val="000000"/>
              <w:szCs w:val="22"/>
              <w:lang w:eastAsia="en-AU"/>
            </w:rPr>
          </w:pPr>
        </w:p>
        <w:p w:rsidR="007E0424" w:rsidRPr="00263799" w:rsidRDefault="007E0424" w:rsidP="00263799">
          <w:pPr>
            <w:shd w:val="clear" w:color="auto" w:fill="FFFFFF"/>
            <w:spacing w:after="160"/>
            <w:ind w:left="720"/>
            <w:contextualSpacing/>
            <w:jc w:val="left"/>
            <w:rPr>
              <w:color w:val="000000"/>
              <w:szCs w:val="22"/>
              <w:lang w:eastAsia="en-AU"/>
            </w:rPr>
          </w:pPr>
        </w:p>
        <w:p w:rsidR="00263799" w:rsidRPr="000557D7" w:rsidRDefault="00263799" w:rsidP="00263799">
          <w:pPr>
            <w:shd w:val="clear" w:color="auto" w:fill="FFFFFF"/>
            <w:spacing w:after="160"/>
            <w:jc w:val="left"/>
            <w:rPr>
              <w:b/>
              <w:color w:val="000000"/>
              <w:szCs w:val="22"/>
              <w:lang w:eastAsia="en-AU"/>
            </w:rPr>
          </w:pPr>
          <w:r w:rsidRPr="000557D7">
            <w:rPr>
              <w:b/>
              <w:color w:val="000000"/>
              <w:szCs w:val="22"/>
              <w:lang w:eastAsia="en-AU"/>
            </w:rPr>
            <w:t>Recommended amendment to subclause 4.4(2):</w:t>
          </w:r>
        </w:p>
        <w:tbl>
          <w:tblPr>
            <w:tblStyle w:val="TableGrid1"/>
            <w:tblW w:w="0" w:type="auto"/>
            <w:tblInd w:w="-5" w:type="dxa"/>
            <w:tblLook w:val="04A0" w:firstRow="1" w:lastRow="0" w:firstColumn="1" w:lastColumn="0" w:noHBand="0" w:noVBand="1"/>
          </w:tblPr>
          <w:tblGrid>
            <w:gridCol w:w="1465"/>
            <w:gridCol w:w="7556"/>
          </w:tblGrid>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Existing subclause</w:t>
                </w:r>
              </w:p>
            </w:tc>
            <w:tc>
              <w:tcPr>
                <w:tcW w:w="7556" w:type="dxa"/>
              </w:tcPr>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(2) The maximum floor space ratio for a building on any land is not to exceed the floor space ratio shown for the land on the Floor Space Ratio Map.</w:t>
                </w:r>
              </w:p>
            </w:tc>
          </w:tr>
          <w:tr w:rsidR="00263799" w:rsidRPr="00263799" w:rsidTr="00BA44B5">
            <w:tc>
              <w:tcPr>
                <w:tcW w:w="1465" w:type="dxa"/>
              </w:tcPr>
              <w:p w:rsidR="00263799" w:rsidRPr="000557D7" w:rsidRDefault="00263799" w:rsidP="00263799">
                <w:pPr>
                  <w:spacing w:after="160" w:line="259" w:lineRule="auto"/>
                  <w:jc w:val="left"/>
                  <w:rPr>
                    <w:b/>
                    <w:color w:val="000000"/>
                    <w:szCs w:val="22"/>
                    <w:lang w:eastAsia="en-AU"/>
                  </w:rPr>
                </w:pPr>
                <w:r w:rsidRPr="000557D7">
                  <w:rPr>
                    <w:b/>
                    <w:color w:val="000000"/>
                    <w:szCs w:val="22"/>
                    <w:lang w:eastAsia="en-AU"/>
                  </w:rPr>
                  <w:t>Proposed amended subclause</w:t>
                </w:r>
              </w:p>
            </w:tc>
            <w:tc>
              <w:tcPr>
                <w:tcW w:w="7556" w:type="dxa"/>
              </w:tcPr>
              <w:p w:rsidR="00263799" w:rsidRPr="00263799" w:rsidRDefault="00263799" w:rsidP="00263799">
                <w:pPr>
                  <w:jc w:val="left"/>
                  <w:rPr>
                    <w:color w:val="000000"/>
                    <w:szCs w:val="22"/>
                    <w:lang w:eastAsia="en-AU"/>
                  </w:rPr>
                </w:pPr>
                <w:r w:rsidRPr="00263799">
                  <w:rPr>
                    <w:color w:val="000000"/>
                    <w:szCs w:val="22"/>
                    <w:lang w:eastAsia="en-AU"/>
                  </w:rPr>
                  <w:t>No amendments proposed.</w:t>
                </w:r>
              </w:p>
            </w:tc>
          </w:tr>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Reason</w:t>
                </w:r>
              </w:p>
            </w:tc>
            <w:tc>
              <w:tcPr>
                <w:tcW w:w="7556" w:type="dxa"/>
              </w:tcPr>
              <w:p w:rsidR="00263799" w:rsidRPr="00263799" w:rsidRDefault="00263799" w:rsidP="00C165FA">
                <w:pPr>
                  <w:jc w:val="left"/>
                  <w:rPr>
                    <w:color w:val="000000"/>
                    <w:szCs w:val="22"/>
                    <w:lang w:eastAsia="en-AU"/>
                  </w:rPr>
                </w:pPr>
                <w:r w:rsidRPr="00263799">
                  <w:rPr>
                    <w:color w:val="000000"/>
                    <w:szCs w:val="22"/>
                    <w:lang w:eastAsia="en-AU"/>
                  </w:rPr>
                  <w:t>Standard wording under the Standard Instrument LEP.</w:t>
                </w:r>
              </w:p>
            </w:tc>
          </w:tr>
        </w:tbl>
        <w:p w:rsidR="00263799" w:rsidRPr="00263799" w:rsidRDefault="00263799" w:rsidP="00263799">
          <w:pPr>
            <w:shd w:val="clear" w:color="auto" w:fill="FFFFFF"/>
            <w:spacing w:after="160"/>
            <w:ind w:left="720"/>
            <w:contextualSpacing/>
            <w:jc w:val="left"/>
            <w:rPr>
              <w:color w:val="000000"/>
              <w:szCs w:val="22"/>
              <w:lang w:eastAsia="en-AU"/>
            </w:rPr>
          </w:pPr>
        </w:p>
        <w:p w:rsidR="00263799" w:rsidRPr="000557D7" w:rsidRDefault="00263799" w:rsidP="00263799">
          <w:pPr>
            <w:shd w:val="clear" w:color="auto" w:fill="FFFFFF"/>
            <w:spacing w:after="160"/>
            <w:jc w:val="left"/>
            <w:rPr>
              <w:b/>
              <w:color w:val="000000"/>
              <w:szCs w:val="22"/>
              <w:lang w:eastAsia="en-AU"/>
            </w:rPr>
          </w:pPr>
          <w:r w:rsidRPr="000557D7">
            <w:rPr>
              <w:b/>
              <w:color w:val="000000"/>
              <w:szCs w:val="22"/>
              <w:lang w:eastAsia="en-AU"/>
            </w:rPr>
            <w:t xml:space="preserve">Recommended amendment to subclause 4.4(2A): </w:t>
          </w:r>
        </w:p>
        <w:tbl>
          <w:tblPr>
            <w:tblStyle w:val="TableGrid1"/>
            <w:tblW w:w="0" w:type="auto"/>
            <w:tblInd w:w="-5" w:type="dxa"/>
            <w:tblLook w:val="04A0" w:firstRow="1" w:lastRow="0" w:firstColumn="1" w:lastColumn="0" w:noHBand="0" w:noVBand="1"/>
          </w:tblPr>
          <w:tblGrid>
            <w:gridCol w:w="1465"/>
            <w:gridCol w:w="7556"/>
          </w:tblGrid>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Existing subclause</w:t>
                </w:r>
              </w:p>
            </w:tc>
            <w:tc>
              <w:tcPr>
                <w:tcW w:w="7556" w:type="dxa"/>
              </w:tcPr>
              <w:p w:rsidR="00263799" w:rsidRPr="00263799" w:rsidRDefault="00263799" w:rsidP="00263799">
                <w:pPr>
                  <w:shd w:val="clear" w:color="auto" w:fill="FFFFFF"/>
                  <w:spacing w:after="160" w:line="259" w:lineRule="auto"/>
                  <w:jc w:val="left"/>
                  <w:rPr>
                    <w:color w:val="000000"/>
                    <w:szCs w:val="22"/>
                    <w:lang w:eastAsia="en-AU"/>
                  </w:rPr>
                </w:pPr>
                <w:r w:rsidRPr="00263799">
                  <w:rPr>
                    <w:color w:val="000000"/>
                    <w:szCs w:val="22"/>
                    <w:lang w:eastAsia="en-AU"/>
                  </w:rPr>
                  <w:t>(2A) Despite subclause (2), the floor space ratio for a building used for a purpose specified in the table to this subclause on land in a zone specified in the table is the floor space ratio listed beside the use and the zone in the table plus the floor space ratio shown for the land on the Floor Space Ratio Map.</w:t>
                </w:r>
              </w:p>
            </w:tc>
          </w:tr>
          <w:tr w:rsidR="00263799" w:rsidRPr="00263799" w:rsidTr="00BA44B5">
            <w:tc>
              <w:tcPr>
                <w:tcW w:w="1465" w:type="dxa"/>
              </w:tcPr>
              <w:p w:rsidR="00263799" w:rsidRPr="000557D7" w:rsidRDefault="00263799" w:rsidP="00263799">
                <w:pPr>
                  <w:spacing w:after="160" w:line="259" w:lineRule="auto"/>
                  <w:jc w:val="left"/>
                  <w:rPr>
                    <w:b/>
                    <w:color w:val="000000"/>
                    <w:szCs w:val="22"/>
                    <w:lang w:eastAsia="en-AU"/>
                  </w:rPr>
                </w:pPr>
                <w:r w:rsidRPr="000557D7">
                  <w:rPr>
                    <w:b/>
                    <w:color w:val="000000"/>
                    <w:szCs w:val="22"/>
                    <w:lang w:eastAsia="en-AU"/>
                  </w:rPr>
                  <w:t>Proposed amended subclause</w:t>
                </w:r>
              </w:p>
            </w:tc>
            <w:tc>
              <w:tcPr>
                <w:tcW w:w="7556" w:type="dxa"/>
              </w:tcPr>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(2A) Despite subclause (2), where a floor space ratio is not shown on the floor space ratio map, the maximum floor space ratio for a building used for a purpose specified in the table to this subclause on land in a zone specified in the table is the floor space ratio listed beside the use and the zone in the table.</w:t>
                </w:r>
              </w:p>
              <w:p w:rsidR="00263799" w:rsidRPr="00263799" w:rsidRDefault="00263799" w:rsidP="00263799">
                <w:pPr>
                  <w:spacing w:after="160" w:line="259" w:lineRule="auto"/>
                  <w:jc w:val="left"/>
                  <w:rPr>
                    <w:color w:val="000000"/>
                    <w:szCs w:val="22"/>
                    <w:lang w:eastAsia="en-AU"/>
                  </w:rPr>
                </w:pPr>
              </w:p>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(no changes to the table to subclause (2A) are proposed)</w:t>
                </w:r>
              </w:p>
            </w:tc>
          </w:tr>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Reason</w:t>
                </w:r>
              </w:p>
            </w:tc>
            <w:tc>
              <w:tcPr>
                <w:tcW w:w="7556" w:type="dxa"/>
              </w:tcPr>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The rewording of this subclause is to align with Council’s original intent to provide local FSR provisions by development type and zone, only where land is not included on the Floor Space Ratio Map. The amended wording also clarifies that the prescribed FSR is a maximum, and removes the opportunity for a bonus FSR to be provided through the ‘doubling up’ of FSR provisions through the interplay of subclauses (2) and (2A).</w:t>
                </w:r>
              </w:p>
            </w:tc>
          </w:tr>
        </w:tbl>
        <w:p w:rsidR="007E0424" w:rsidRDefault="007E0424" w:rsidP="00263799">
          <w:pPr>
            <w:shd w:val="clear" w:color="auto" w:fill="FFFFFF"/>
            <w:spacing w:after="160"/>
            <w:jc w:val="left"/>
            <w:rPr>
              <w:b/>
              <w:color w:val="000000"/>
              <w:szCs w:val="22"/>
              <w:lang w:eastAsia="en-AU"/>
            </w:rPr>
          </w:pPr>
        </w:p>
        <w:p w:rsidR="00263799" w:rsidRPr="000557D7" w:rsidRDefault="00263799" w:rsidP="00263799">
          <w:pPr>
            <w:shd w:val="clear" w:color="auto" w:fill="FFFFFF"/>
            <w:spacing w:after="160"/>
            <w:jc w:val="left"/>
            <w:rPr>
              <w:b/>
              <w:color w:val="000000"/>
              <w:szCs w:val="22"/>
              <w:lang w:eastAsia="en-AU"/>
            </w:rPr>
          </w:pPr>
          <w:r w:rsidRPr="000557D7">
            <w:rPr>
              <w:b/>
              <w:color w:val="000000"/>
              <w:szCs w:val="22"/>
              <w:lang w:eastAsia="en-AU"/>
            </w:rPr>
            <w:t>Recommended amendment to subclause 4.4(2B):</w:t>
          </w:r>
        </w:p>
        <w:tbl>
          <w:tblPr>
            <w:tblStyle w:val="TableGrid1"/>
            <w:tblW w:w="0" w:type="auto"/>
            <w:tblInd w:w="-5" w:type="dxa"/>
            <w:tblLook w:val="04A0" w:firstRow="1" w:lastRow="0" w:firstColumn="1" w:lastColumn="0" w:noHBand="0" w:noVBand="1"/>
          </w:tblPr>
          <w:tblGrid>
            <w:gridCol w:w="1465"/>
            <w:gridCol w:w="7556"/>
          </w:tblGrid>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Existing subclause</w:t>
                </w:r>
              </w:p>
            </w:tc>
            <w:tc>
              <w:tcPr>
                <w:tcW w:w="7556" w:type="dxa"/>
              </w:tcPr>
              <w:p w:rsidR="00263799" w:rsidRPr="00263799" w:rsidRDefault="00263799" w:rsidP="00263799">
                <w:pPr>
                  <w:shd w:val="clear" w:color="auto" w:fill="FFFFFF"/>
                  <w:spacing w:after="160" w:line="259" w:lineRule="auto"/>
                  <w:jc w:val="left"/>
                  <w:rPr>
                    <w:color w:val="000000"/>
                    <w:szCs w:val="22"/>
                    <w:lang w:eastAsia="en-AU"/>
                  </w:rPr>
                </w:pPr>
                <w:r w:rsidRPr="00263799">
                  <w:rPr>
                    <w:color w:val="000000"/>
                    <w:szCs w:val="22"/>
                    <w:lang w:eastAsia="en-AU"/>
                  </w:rPr>
                  <w:t>(2B)  Subclause (2A) does not apply to land identified as “Mount Gilead Urban Release Area” on the Urban Release Area Map.</w:t>
                </w:r>
              </w:p>
            </w:tc>
          </w:tr>
          <w:tr w:rsidR="00263799" w:rsidRPr="00263799" w:rsidTr="00BA44B5">
            <w:tc>
              <w:tcPr>
                <w:tcW w:w="1465" w:type="dxa"/>
              </w:tcPr>
              <w:p w:rsidR="00263799" w:rsidRPr="000557D7" w:rsidRDefault="00263799" w:rsidP="00263799">
                <w:pPr>
                  <w:spacing w:after="160" w:line="259" w:lineRule="auto"/>
                  <w:jc w:val="left"/>
                  <w:rPr>
                    <w:b/>
                    <w:color w:val="000000"/>
                    <w:szCs w:val="22"/>
                    <w:lang w:eastAsia="en-AU"/>
                  </w:rPr>
                </w:pPr>
                <w:r w:rsidRPr="000557D7">
                  <w:rPr>
                    <w:b/>
                    <w:color w:val="000000"/>
                    <w:szCs w:val="22"/>
                    <w:lang w:eastAsia="en-AU"/>
                  </w:rPr>
                  <w:t>Proposed amended subclause</w:t>
                </w:r>
              </w:p>
            </w:tc>
            <w:tc>
              <w:tcPr>
                <w:tcW w:w="7556" w:type="dxa"/>
              </w:tcPr>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Delete</w:t>
                </w:r>
              </w:p>
            </w:tc>
          </w:tr>
          <w:tr w:rsidR="00263799" w:rsidRPr="00263799" w:rsidTr="00BA44B5">
            <w:tc>
              <w:tcPr>
                <w:tcW w:w="1465" w:type="dxa"/>
              </w:tcPr>
              <w:p w:rsidR="00263799" w:rsidRPr="000557D7" w:rsidRDefault="00263799" w:rsidP="00263799">
                <w:pPr>
                  <w:jc w:val="left"/>
                  <w:rPr>
                    <w:b/>
                    <w:color w:val="000000"/>
                    <w:szCs w:val="22"/>
                    <w:lang w:eastAsia="en-AU"/>
                  </w:rPr>
                </w:pPr>
                <w:r w:rsidRPr="000557D7">
                  <w:rPr>
                    <w:b/>
                    <w:color w:val="000000"/>
                    <w:szCs w:val="22"/>
                    <w:lang w:eastAsia="en-AU"/>
                  </w:rPr>
                  <w:t>Reason</w:t>
                </w:r>
              </w:p>
            </w:tc>
            <w:tc>
              <w:tcPr>
                <w:tcW w:w="7556" w:type="dxa"/>
              </w:tcPr>
              <w:p w:rsidR="00263799" w:rsidRPr="00263799" w:rsidRDefault="00263799" w:rsidP="00263799">
                <w:pPr>
                  <w:spacing w:after="160" w:line="259" w:lineRule="auto"/>
                  <w:jc w:val="left"/>
                  <w:rPr>
                    <w:color w:val="000000"/>
                    <w:szCs w:val="22"/>
                    <w:lang w:eastAsia="en-AU"/>
                  </w:rPr>
                </w:pPr>
                <w:r w:rsidRPr="00263799">
                  <w:rPr>
                    <w:color w:val="000000"/>
                    <w:szCs w:val="22"/>
                    <w:lang w:eastAsia="en-AU"/>
                  </w:rPr>
                  <w:t>Subclause (2B) is no longer required given that the proposed rewording of subclause (2A) would by default exclude the “Mount Gilead Urban Release Area” as this land is included on the Floor Space Ratio Map.</w:t>
                </w:r>
              </w:p>
            </w:tc>
          </w:tr>
        </w:tbl>
        <w:p w:rsidR="00263799" w:rsidRDefault="00263799" w:rsidP="00263799">
          <w:pPr>
            <w:shd w:val="clear" w:color="auto" w:fill="FFFFFF"/>
            <w:spacing w:after="160"/>
            <w:jc w:val="left"/>
            <w:rPr>
              <w:color w:val="000000"/>
              <w:szCs w:val="22"/>
              <w:lang w:eastAsia="en-AU"/>
            </w:rPr>
          </w:pPr>
        </w:p>
        <w:p w:rsidR="00876835" w:rsidRDefault="00876835" w:rsidP="00263799">
          <w:pPr>
            <w:shd w:val="clear" w:color="auto" w:fill="FFFFFF"/>
            <w:spacing w:after="160"/>
            <w:jc w:val="left"/>
            <w:rPr>
              <w:b/>
              <w:color w:val="000000"/>
              <w:szCs w:val="22"/>
              <w:lang w:eastAsia="en-AU"/>
            </w:rPr>
          </w:pPr>
        </w:p>
        <w:p w:rsidR="00263799" w:rsidRPr="000557D7" w:rsidRDefault="00263799" w:rsidP="00263799">
          <w:pPr>
            <w:shd w:val="clear" w:color="auto" w:fill="FFFFFF"/>
            <w:spacing w:after="160"/>
            <w:jc w:val="left"/>
            <w:rPr>
              <w:b/>
              <w:color w:val="000000"/>
              <w:szCs w:val="22"/>
              <w:lang w:eastAsia="en-AU"/>
            </w:rPr>
          </w:pPr>
          <w:r w:rsidRPr="000557D7">
            <w:rPr>
              <w:b/>
              <w:color w:val="000000"/>
              <w:szCs w:val="22"/>
              <w:lang w:eastAsia="en-AU"/>
            </w:rPr>
            <w:t>Recommended amendment to subclause 4.4(2C):</w:t>
          </w:r>
        </w:p>
        <w:tbl>
          <w:tblPr>
            <w:tblStyle w:val="TableGrid1"/>
            <w:tblW w:w="0" w:type="auto"/>
            <w:tblInd w:w="-5" w:type="dxa"/>
            <w:tblLook w:val="04A0" w:firstRow="1" w:lastRow="0" w:firstColumn="1" w:lastColumn="0" w:noHBand="0" w:noVBand="1"/>
          </w:tblPr>
          <w:tblGrid>
            <w:gridCol w:w="1465"/>
            <w:gridCol w:w="7556"/>
          </w:tblGrid>
          <w:tr w:rsidR="00263799" w:rsidRPr="00263799" w:rsidTr="00BA44B5">
            <w:tc>
              <w:tcPr>
                <w:tcW w:w="1465" w:type="dxa"/>
              </w:tcPr>
              <w:p w:rsidR="00263799" w:rsidRPr="000557D7" w:rsidRDefault="00263799" w:rsidP="00263799">
                <w:pPr>
                  <w:shd w:val="clear" w:color="auto" w:fill="FFFFFF"/>
                  <w:spacing w:after="160" w:line="259" w:lineRule="auto"/>
                  <w:jc w:val="left"/>
                  <w:rPr>
                    <w:b/>
                    <w:color w:val="000000"/>
                    <w:szCs w:val="22"/>
                    <w:lang w:eastAsia="en-AU"/>
                  </w:rPr>
                </w:pPr>
                <w:r w:rsidRPr="000557D7">
                  <w:rPr>
                    <w:b/>
                    <w:color w:val="000000"/>
                    <w:szCs w:val="22"/>
                    <w:lang w:eastAsia="en-AU"/>
                  </w:rPr>
                  <w:t>Existing subclause</w:t>
                </w:r>
              </w:p>
            </w:tc>
            <w:tc>
              <w:tcPr>
                <w:tcW w:w="7556" w:type="dxa"/>
              </w:tcPr>
              <w:p w:rsidR="00263799" w:rsidRPr="00263799" w:rsidRDefault="00263799" w:rsidP="00263799">
                <w:pPr>
                  <w:shd w:val="clear" w:color="auto" w:fill="FFFFFF"/>
                  <w:spacing w:after="160" w:line="259" w:lineRule="auto"/>
                  <w:jc w:val="left"/>
                  <w:rPr>
                    <w:color w:val="000000"/>
                    <w:szCs w:val="22"/>
                    <w:lang w:eastAsia="en-AU"/>
                  </w:rPr>
                </w:pPr>
                <w:r w:rsidRPr="00263799">
                  <w:rPr>
                    <w:color w:val="000000"/>
                    <w:szCs w:val="22"/>
                    <w:lang w:eastAsia="en-AU"/>
                  </w:rPr>
                  <w:t>(2C)  To avoid doubt, subclause (2A) does not apply to land for which a floor space ratio is not shown on the Floor Space Ratio Map.</w:t>
                </w:r>
              </w:p>
            </w:tc>
          </w:tr>
          <w:tr w:rsidR="00263799" w:rsidRPr="00263799" w:rsidTr="00BA44B5">
            <w:tc>
              <w:tcPr>
                <w:tcW w:w="1465" w:type="dxa"/>
              </w:tcPr>
              <w:p w:rsidR="00263799" w:rsidRPr="000557D7" w:rsidRDefault="00263799" w:rsidP="00263799">
                <w:pPr>
                  <w:shd w:val="clear" w:color="auto" w:fill="FFFFFF"/>
                  <w:spacing w:after="160" w:line="259" w:lineRule="auto"/>
                  <w:jc w:val="left"/>
                  <w:rPr>
                    <w:b/>
                    <w:color w:val="000000"/>
                    <w:szCs w:val="22"/>
                    <w:lang w:eastAsia="en-AU"/>
                  </w:rPr>
                </w:pPr>
                <w:r w:rsidRPr="000557D7">
                  <w:rPr>
                    <w:b/>
                    <w:color w:val="000000"/>
                    <w:szCs w:val="22"/>
                    <w:lang w:eastAsia="en-AU"/>
                  </w:rPr>
                  <w:t>Proposed amended subclause</w:t>
                </w:r>
              </w:p>
            </w:tc>
            <w:tc>
              <w:tcPr>
                <w:tcW w:w="7556" w:type="dxa"/>
              </w:tcPr>
              <w:p w:rsidR="00263799" w:rsidRPr="00263799" w:rsidRDefault="00263799" w:rsidP="00263799">
                <w:pPr>
                  <w:shd w:val="clear" w:color="auto" w:fill="FFFFFF"/>
                  <w:spacing w:after="160" w:line="259" w:lineRule="auto"/>
                  <w:jc w:val="left"/>
                  <w:rPr>
                    <w:color w:val="000000"/>
                    <w:szCs w:val="22"/>
                    <w:lang w:eastAsia="en-AU"/>
                  </w:rPr>
                </w:pPr>
                <w:r w:rsidRPr="00263799">
                  <w:rPr>
                    <w:color w:val="000000"/>
                    <w:szCs w:val="22"/>
                    <w:lang w:eastAsia="en-AU"/>
                  </w:rPr>
                  <w:t>Delete</w:t>
                </w:r>
              </w:p>
            </w:tc>
          </w:tr>
          <w:tr w:rsidR="00263799" w:rsidRPr="00263799" w:rsidTr="00BA44B5">
            <w:tc>
              <w:tcPr>
                <w:tcW w:w="1465" w:type="dxa"/>
              </w:tcPr>
              <w:p w:rsidR="00263799" w:rsidRPr="000557D7" w:rsidRDefault="00263799" w:rsidP="00263799">
                <w:pPr>
                  <w:shd w:val="clear" w:color="auto" w:fill="FFFFFF"/>
                  <w:spacing w:after="160" w:line="259" w:lineRule="auto"/>
                  <w:jc w:val="left"/>
                  <w:rPr>
                    <w:b/>
                    <w:color w:val="000000"/>
                    <w:szCs w:val="22"/>
                    <w:lang w:eastAsia="en-AU"/>
                  </w:rPr>
                </w:pPr>
                <w:r w:rsidRPr="000557D7">
                  <w:rPr>
                    <w:b/>
                    <w:color w:val="000000"/>
                    <w:szCs w:val="22"/>
                    <w:lang w:eastAsia="en-AU"/>
                  </w:rPr>
                  <w:t>Reason</w:t>
                </w:r>
              </w:p>
            </w:tc>
            <w:tc>
              <w:tcPr>
                <w:tcW w:w="7556" w:type="dxa"/>
              </w:tcPr>
              <w:p w:rsidR="00263799" w:rsidRPr="00263799" w:rsidRDefault="00263799" w:rsidP="00263799">
                <w:pPr>
                  <w:shd w:val="clear" w:color="auto" w:fill="FFFFFF"/>
                  <w:spacing w:after="160" w:line="259" w:lineRule="auto"/>
                  <w:jc w:val="left"/>
                  <w:rPr>
                    <w:color w:val="000000"/>
                    <w:szCs w:val="22"/>
                    <w:lang w:eastAsia="en-AU"/>
                  </w:rPr>
                </w:pPr>
                <w:r w:rsidRPr="00263799">
                  <w:rPr>
                    <w:color w:val="000000"/>
                    <w:szCs w:val="22"/>
                    <w:lang w:eastAsia="en-AU"/>
                  </w:rPr>
                  <w:t>The insertion of subclause (2C) was made under CLEP 2015 (Amendment 26) and was intended to remove the opportunity of a FSR bonus for land nominated on the Floor Space Ratio Map within the Menangle Park URA. The proposed rewording of subclause (2A) would by default exclude the Menangle Park URA as this land is included on the Floor Space Ratio Map.</w:t>
                </w:r>
              </w:p>
              <w:p w:rsidR="00263799" w:rsidRPr="00263799" w:rsidRDefault="00263799" w:rsidP="00263799">
                <w:pPr>
                  <w:shd w:val="clear" w:color="auto" w:fill="FFFFFF"/>
                  <w:spacing w:after="160" w:line="259" w:lineRule="auto"/>
                  <w:jc w:val="left"/>
                  <w:rPr>
                    <w:color w:val="000000"/>
                    <w:szCs w:val="22"/>
                    <w:highlight w:val="yellow"/>
                    <w:lang w:eastAsia="en-AU"/>
                  </w:rPr>
                </w:pPr>
                <w:r w:rsidRPr="00263799">
                  <w:rPr>
                    <w:color w:val="000000"/>
                    <w:szCs w:val="22"/>
                    <w:lang w:eastAsia="en-AU"/>
                  </w:rPr>
                  <w:t>Further, the deletion of this subclause will address the unintended effect of removing the FSR provision under subclause (2A) for the vast majority of residential zoned land in the Campbelltown LGA, not presently included on the Floor Space Ratio Map.</w:t>
                </w:r>
              </w:p>
            </w:tc>
          </w:tr>
        </w:tbl>
        <w:p w:rsidR="00F841C5" w:rsidRPr="00BB532F" w:rsidRDefault="00F841C5" w:rsidP="006F069E"/>
        <w:p w:rsidR="00F841C5" w:rsidRPr="00BB532F" w:rsidRDefault="00F841C5" w:rsidP="006F069E">
          <w:pPr>
            <w:tabs>
              <w:tab w:val="left" w:pos="567"/>
            </w:tabs>
            <w:rPr>
              <w:b/>
            </w:rPr>
          </w:pPr>
          <w:r w:rsidRPr="00BB532F">
            <w:rPr>
              <w:b/>
            </w:rPr>
            <w:t>4.</w:t>
          </w:r>
          <w:r w:rsidRPr="00BB532F">
            <w:rPr>
              <w:b/>
            </w:rPr>
            <w:tab/>
            <w:t>Public Participation</w:t>
          </w:r>
        </w:p>
        <w:p w:rsidR="00F841C5" w:rsidRPr="00BB532F" w:rsidRDefault="00F841C5" w:rsidP="006F069E"/>
        <w:p w:rsidR="00F841C5" w:rsidRPr="00096ABB" w:rsidRDefault="00096ABB" w:rsidP="00096ABB">
          <w:r w:rsidRPr="00096ABB">
            <w:t xml:space="preserve">If the </w:t>
          </w:r>
          <w:r>
            <w:t xml:space="preserve">proposed amendments to clause 4.4 of </w:t>
          </w:r>
          <w:r w:rsidR="000557D7">
            <w:t>CLEP</w:t>
          </w:r>
          <w:r>
            <w:t xml:space="preserve"> 2015</w:t>
          </w:r>
          <w:r w:rsidRPr="00096ABB">
            <w:t xml:space="preserve"> </w:t>
          </w:r>
          <w:r>
            <w:t>are</w:t>
          </w:r>
          <w:r w:rsidRPr="00096ABB">
            <w:t xml:space="preserve"> supported by Council and a Gateway Determination is obtained </w:t>
          </w:r>
          <w:r>
            <w:t xml:space="preserve">from DPE, </w:t>
          </w:r>
          <w:r w:rsidRPr="00096ABB">
            <w:t xml:space="preserve">then the PP </w:t>
          </w:r>
          <w:r>
            <w:t xml:space="preserve">to make the proposed amendments </w:t>
          </w:r>
          <w:r w:rsidRPr="00096ABB">
            <w:t xml:space="preserve">would be publically exhibited </w:t>
          </w:r>
          <w:r>
            <w:t>in accordance with the requirements of the Gateway Determination</w:t>
          </w:r>
          <w:r w:rsidRPr="00096ABB">
            <w:t>.</w:t>
          </w:r>
        </w:p>
        <w:p w:rsidR="00F841C5" w:rsidRPr="00BB532F" w:rsidRDefault="00F841C5" w:rsidP="006F069E"/>
        <w:p w:rsidR="00F841C5" w:rsidRPr="00BB532F" w:rsidRDefault="00F841C5" w:rsidP="006F069E">
          <w:pPr>
            <w:tabs>
              <w:tab w:val="left" w:pos="567"/>
            </w:tabs>
            <w:rPr>
              <w:b/>
            </w:rPr>
          </w:pPr>
          <w:r w:rsidRPr="00BB532F">
            <w:rPr>
              <w:b/>
            </w:rPr>
            <w:t>Conclusion</w:t>
          </w:r>
        </w:p>
        <w:p w:rsidR="00263799" w:rsidRDefault="00263799" w:rsidP="00263799">
          <w:pPr>
            <w:spacing w:before="120"/>
          </w:pPr>
          <w:r>
            <w:t>Clause 4.4 of C</w:t>
          </w:r>
          <w:r w:rsidR="000557D7">
            <w:t xml:space="preserve">ampbelltown </w:t>
          </w:r>
          <w:r>
            <w:t>L</w:t>
          </w:r>
          <w:r w:rsidR="000557D7">
            <w:t xml:space="preserve">ocal </w:t>
          </w:r>
          <w:r>
            <w:t>E</w:t>
          </w:r>
          <w:r w:rsidR="000557D7">
            <w:t xml:space="preserve">nvironment </w:t>
          </w:r>
          <w:r>
            <w:t>P</w:t>
          </w:r>
          <w:r w:rsidR="000557D7">
            <w:t>lan</w:t>
          </w:r>
          <w:r>
            <w:t xml:space="preserve"> 2015 applies to the majority of land within the Campbelltown LGA and provides the relevant development standards relating to the control of the floor space ratio of buildings.</w:t>
          </w:r>
        </w:p>
        <w:p w:rsidR="00263799" w:rsidRDefault="00263799" w:rsidP="00263799">
          <w:pPr>
            <w:spacing w:before="120"/>
          </w:pPr>
          <w:r>
            <w:t xml:space="preserve">A number of issues have been identified with the effective operation of clause 4.4 of </w:t>
          </w:r>
          <w:r w:rsidR="000557D7">
            <w:t xml:space="preserve">Campbelltown Local Environment Plan 2015 </w:t>
          </w:r>
          <w:r>
            <w:t>(as amended), generally relating to unintended floor space ratio outcomes being permitted in certain instances as a result of the interplay of the sub clauses. This is creating the potential for buildings of excessive bulk and scale that are incompatible with the desired character of their locality.</w:t>
          </w:r>
        </w:p>
        <w:p w:rsidR="00F841C5" w:rsidRDefault="00263799" w:rsidP="00263799">
          <w:pPr>
            <w:spacing w:before="120"/>
          </w:pPr>
          <w:r>
            <w:t xml:space="preserve">The amendment of clause 4.4 is recommended to streamline the operation of the clause in accordance with the clause objectives, and remove the opportunity for unintended FSR outcomes resulting from the interpretation and interplay of the sub clauses. The recommended amendments to clause 4.4 </w:t>
          </w:r>
          <w:r w:rsidR="000557D7">
            <w:t xml:space="preserve">Campbelltown Local Environment Plan 2015 </w:t>
          </w:r>
          <w:r>
            <w:t>will require a separate planning proposal to be prepared and endorsed by Council.</w:t>
          </w:r>
        </w:p>
        <w:p w:rsidR="00876835" w:rsidRDefault="00876835" w:rsidP="00263799">
          <w:pPr>
            <w:spacing w:before="120"/>
          </w:pPr>
        </w:p>
        <w:p w:rsidR="00B3793F" w:rsidRPr="00645D40" w:rsidRDefault="003B5C5E" w:rsidP="00F841C5">
          <w:pPr>
            <w:rPr>
              <w:vanish/>
              <w:color w:val="000080"/>
            </w:rPr>
          </w:pPr>
        </w:p>
      </w:sdtContent>
    </w:sdt>
    <w:sdt>
      <w:sdtPr>
        <w:rPr>
          <w:b/>
        </w:rPr>
        <w:alias w:val="ICSection"/>
        <w:tag w:val="5"/>
        <w:id w:val="2126658174"/>
        <w:placeholder>
          <w:docPart w:val="DefaultPlaceholder_-1854013440"/>
        </w:placeholder>
        <w15:appearance w15:val="hidden"/>
      </w:sdtPr>
      <w:sdtEndPr>
        <w:rPr>
          <w:b w:val="0"/>
          <w:vanish/>
          <w:color w:val="000080"/>
        </w:rPr>
      </w:sdtEndPr>
      <w:sdtContent>
        <w:bookmarkStart w:id="8" w:name="PDF2_Attachments" w:displacedByCustomXml="prev"/>
        <w:bookmarkStart w:id="9" w:name="PDF2_Attachments_14329" w:displacedByCustomXml="prev"/>
        <w:p w:rsidR="00F841C5" w:rsidRPr="00D974DF" w:rsidRDefault="00F841C5" w:rsidP="00F57C96">
          <w:pPr>
            <w:keepNext/>
            <w:spacing w:after="240"/>
            <w:outlineLvl w:val="2"/>
            <w:rPr>
              <w:b/>
              <w:sz w:val="26"/>
            </w:rPr>
          </w:pPr>
          <w:r w:rsidRPr="00D974DF">
            <w:rPr>
              <w:b/>
              <w:sz w:val="26"/>
            </w:rPr>
            <w:t>Attachments</w:t>
          </w:r>
        </w:p>
        <w:bookmarkStart w:id="10" w:name="Attachments"/>
        <w:p w:rsidR="00F841C5" w:rsidRPr="00D974DF" w:rsidRDefault="00876835" w:rsidP="00876835">
          <w:pPr>
            <w:tabs>
              <w:tab w:val="left" w:pos="567"/>
            </w:tabs>
            <w:ind w:left="567" w:hanging="567"/>
          </w:pPr>
          <w:r w:rsidRPr="00876835">
            <w:fldChar w:fldCharType="begin"/>
          </w:r>
          <w:r w:rsidRPr="00876835">
            <w:instrText xml:space="preserve"> DOCVARIABLE"dvItemNumberMasked" \* Charformat </w:instrText>
          </w:r>
          <w:r w:rsidRPr="00876835">
            <w:fldChar w:fldCharType="separate"/>
          </w:r>
          <w:r w:rsidR="00A72B99">
            <w:t>0.0</w:t>
          </w:r>
          <w:r w:rsidRPr="00876835">
            <w:fldChar w:fldCharType="end"/>
          </w:r>
          <w:r w:rsidRPr="00876835">
            <w:t>.1</w:t>
          </w:r>
          <w:r w:rsidRPr="00876835">
            <w:tab/>
            <w:t xml:space="preserve">Proposed Floor Space Ratio (contained within this report) </w:t>
          </w:r>
          <w:bookmarkStart w:id="11" w:name="PDFA_Attachment_1"/>
          <w:bookmarkStart w:id="12" w:name="PDFA_14329_1"/>
          <w:r w:rsidRPr="00876835">
            <w:t xml:space="preserve"> </w:t>
          </w:r>
          <w:bookmarkEnd w:id="11"/>
          <w:bookmarkEnd w:id="12"/>
          <w:r>
            <w:t xml:space="preserve"> </w:t>
          </w:r>
          <w:bookmarkEnd w:id="10"/>
        </w:p>
        <w:bookmarkEnd w:id="9"/>
        <w:bookmarkEnd w:id="8"/>
        <w:p w:rsidR="00F841C5" w:rsidRPr="00D974DF" w:rsidRDefault="00F841C5" w:rsidP="000223CF">
          <w:pPr>
            <w:spacing w:before="240"/>
            <w:rPr>
              <w:vanish/>
              <w:color w:val="000080"/>
            </w:rPr>
          </w:pPr>
          <w:r w:rsidRPr="00D974DF">
            <w:rPr>
              <w:vanish/>
              <w:color w:val="000080"/>
            </w:rPr>
            <w:t>**if colour attachments are included in the Business Paper - they will be printed in black and white, please ensure you have colour copies of the attachments at the relevant meetings for viewing if required.**</w:t>
          </w:r>
        </w:p>
        <w:p w:rsidR="00F841C5" w:rsidRPr="00D974DF" w:rsidRDefault="00F841C5" w:rsidP="000223CF">
          <w:pPr>
            <w:pStyle w:val="ICHeading1"/>
            <w:spacing w:before="240"/>
          </w:pPr>
          <w:r w:rsidRPr="00D974DF">
            <w:t>Reporting Officer</w:t>
          </w:r>
        </w:p>
        <w:p w:rsidR="00F841C5" w:rsidRPr="00D974DF" w:rsidRDefault="00B94C53" w:rsidP="00B94C53">
          <w:bookmarkStart w:id="13" w:name="IHAPAuthorTitle"/>
          <w:r w:rsidRPr="00B94C53">
            <w:t>Senior Strategic Environmental Planner</w:t>
          </w:r>
          <w:r>
            <w:t xml:space="preserve"> </w:t>
          </w:r>
          <w:bookmarkEnd w:id="13"/>
        </w:p>
        <w:p w:rsidR="00F841C5" w:rsidRPr="00D974DF" w:rsidRDefault="00F841C5" w:rsidP="009C5059"/>
        <w:p w:rsidR="00C165FA" w:rsidRDefault="003B5C5E" w:rsidP="00F841C5">
          <w:pPr>
            <w:rPr>
              <w:vanish/>
              <w:color w:val="000080"/>
            </w:rPr>
          </w:pPr>
        </w:p>
      </w:sdtContent>
    </w:sdt>
    <w:sectPr w:rsidR="00C165FA" w:rsidSect="006B086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814" w:right="1418" w:bottom="1418" w:left="1418" w:header="1134"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C5" w:rsidRDefault="00F841C5" w:rsidP="000915C8">
      <w:r>
        <w:separator/>
      </w:r>
    </w:p>
  </w:endnote>
  <w:endnote w:type="continuationSeparator" w:id="0">
    <w:p w:rsidR="00F841C5" w:rsidRDefault="00F841C5"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53" w:rsidRDefault="00B9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BB" w:rsidRPr="00A54173" w:rsidRDefault="008658BB" w:rsidP="008658BB">
    <w:pPr>
      <w:pBdr>
        <w:top w:val="single" w:sz="4" w:space="1" w:color="auto"/>
      </w:pBdr>
      <w:tabs>
        <w:tab w:val="right" w:pos="9072"/>
      </w:tabs>
      <w:jc w:val="left"/>
      <w:rPr>
        <w:rFonts w:cs="Arial"/>
        <w:szCs w:val="22"/>
      </w:rPr>
    </w:pPr>
    <w:r w:rsidRPr="00A54173">
      <w:rPr>
        <w:rFonts w:cs="Arial"/>
        <w:szCs w:val="22"/>
      </w:rPr>
      <w:t xml:space="preserve">Item </w:t>
    </w:r>
    <w:r w:rsidRPr="00A54173">
      <w:rPr>
        <w:rFonts w:cs="Arial"/>
        <w:szCs w:val="22"/>
      </w:rPr>
      <w:fldChar w:fldCharType="begin"/>
    </w:r>
    <w:r w:rsidRPr="00A54173">
      <w:rPr>
        <w:rFonts w:cs="Arial"/>
        <w:szCs w:val="22"/>
      </w:rPr>
      <w:instrText xml:space="preserve"> DOCVARIABLE "dvItemNumberMasked" \* Charformat </w:instrText>
    </w:r>
    <w:r w:rsidRPr="00A54173">
      <w:rPr>
        <w:rFonts w:cs="Arial"/>
        <w:szCs w:val="22"/>
      </w:rPr>
      <w:fldChar w:fldCharType="separate"/>
    </w:r>
    <w:r w:rsidR="00A72B99">
      <w:rPr>
        <w:rFonts w:cs="Arial"/>
        <w:szCs w:val="22"/>
      </w:rPr>
      <w:t>0.0</w:t>
    </w:r>
    <w:r w:rsidRPr="00A54173">
      <w:rPr>
        <w:rFonts w:cs="Arial"/>
        <w:szCs w:val="22"/>
      </w:rPr>
      <w:fldChar w:fldCharType="end"/>
    </w:r>
    <w:r w:rsidRPr="00A54173">
      <w:rPr>
        <w:rFonts w:cs="Arial"/>
        <w:szCs w:val="22"/>
      </w:rPr>
      <w:tab/>
      <w:t xml:space="preserve">Page </w:t>
    </w:r>
    <w:r w:rsidRPr="00A54173">
      <w:rPr>
        <w:rFonts w:cs="Arial"/>
        <w:szCs w:val="22"/>
      </w:rPr>
      <w:fldChar w:fldCharType="begin"/>
    </w:r>
    <w:r w:rsidRPr="00A54173">
      <w:rPr>
        <w:rFonts w:cs="Arial"/>
        <w:szCs w:val="22"/>
      </w:rPr>
      <w:instrText xml:space="preserve"> PAGE   \* MERGEFORMAT </w:instrText>
    </w:r>
    <w:r w:rsidRPr="00A54173">
      <w:rPr>
        <w:rFonts w:cs="Arial"/>
        <w:szCs w:val="22"/>
      </w:rPr>
      <w:fldChar w:fldCharType="separate"/>
    </w:r>
    <w:r w:rsidR="003B5C5E">
      <w:rPr>
        <w:rFonts w:cs="Arial"/>
        <w:noProof/>
        <w:szCs w:val="22"/>
      </w:rPr>
      <w:t>2</w:t>
    </w:r>
    <w:r w:rsidRPr="00A54173">
      <w:rPr>
        <w:rFonts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68" w:rsidRPr="00A54173" w:rsidRDefault="006B0868" w:rsidP="006B0868">
    <w:pPr>
      <w:pBdr>
        <w:top w:val="single" w:sz="4" w:space="1" w:color="auto"/>
      </w:pBdr>
      <w:tabs>
        <w:tab w:val="right" w:pos="9072"/>
      </w:tabs>
      <w:jc w:val="left"/>
      <w:rPr>
        <w:rFonts w:cs="Arial"/>
        <w:szCs w:val="22"/>
      </w:rPr>
    </w:pPr>
    <w:r w:rsidRPr="00A54173">
      <w:rPr>
        <w:rFonts w:cs="Arial"/>
        <w:szCs w:val="22"/>
      </w:rPr>
      <w:t xml:space="preserve">Item </w:t>
    </w:r>
    <w:r w:rsidRPr="00A54173">
      <w:rPr>
        <w:rFonts w:cs="Arial"/>
        <w:szCs w:val="22"/>
      </w:rPr>
      <w:fldChar w:fldCharType="begin"/>
    </w:r>
    <w:r w:rsidRPr="00A54173">
      <w:rPr>
        <w:rFonts w:cs="Arial"/>
        <w:szCs w:val="22"/>
      </w:rPr>
      <w:instrText xml:space="preserve"> DOCVARIABLE "dvItemNumberMasked" \* Charformat </w:instrText>
    </w:r>
    <w:r w:rsidRPr="00A54173">
      <w:rPr>
        <w:rFonts w:cs="Arial"/>
        <w:szCs w:val="22"/>
      </w:rPr>
      <w:fldChar w:fldCharType="separate"/>
    </w:r>
    <w:r w:rsidR="00A72B99">
      <w:rPr>
        <w:rFonts w:cs="Arial"/>
        <w:szCs w:val="22"/>
      </w:rPr>
      <w:t>0.0</w:t>
    </w:r>
    <w:r w:rsidRPr="00A54173">
      <w:rPr>
        <w:rFonts w:cs="Arial"/>
        <w:szCs w:val="22"/>
      </w:rPr>
      <w:fldChar w:fldCharType="end"/>
    </w:r>
    <w:r w:rsidRPr="00A54173">
      <w:rPr>
        <w:rFonts w:cs="Arial"/>
        <w:szCs w:val="22"/>
      </w:rPr>
      <w:tab/>
      <w:t xml:space="preserve">Page </w:t>
    </w:r>
    <w:r w:rsidRPr="00A54173">
      <w:rPr>
        <w:rFonts w:cs="Arial"/>
        <w:szCs w:val="22"/>
      </w:rPr>
      <w:fldChar w:fldCharType="begin"/>
    </w:r>
    <w:r w:rsidRPr="00A54173">
      <w:rPr>
        <w:rFonts w:cs="Arial"/>
        <w:szCs w:val="22"/>
      </w:rPr>
      <w:instrText xml:space="preserve"> PAGE   \* MERGEFORMAT </w:instrText>
    </w:r>
    <w:r w:rsidRPr="00A54173">
      <w:rPr>
        <w:rFonts w:cs="Arial"/>
        <w:szCs w:val="22"/>
      </w:rPr>
      <w:fldChar w:fldCharType="separate"/>
    </w:r>
    <w:r w:rsidR="003B5C5E">
      <w:rPr>
        <w:rFonts w:cs="Arial"/>
        <w:noProof/>
        <w:szCs w:val="22"/>
      </w:rPr>
      <w:t>1</w:t>
    </w:r>
    <w:r w:rsidRPr="00A54173">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C5" w:rsidRDefault="00F841C5" w:rsidP="000915C8">
      <w:r>
        <w:separator/>
      </w:r>
    </w:p>
  </w:footnote>
  <w:footnote w:type="continuationSeparator" w:id="0">
    <w:p w:rsidR="00F841C5" w:rsidRDefault="00F841C5" w:rsidP="0009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53" w:rsidRDefault="00B9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8C" w:rsidRPr="00A54173" w:rsidRDefault="00EF5F8C" w:rsidP="00EF5F8C">
    <w:pPr>
      <w:pBdr>
        <w:bottom w:val="single" w:sz="4" w:space="1" w:color="auto"/>
      </w:pBdr>
      <w:tabs>
        <w:tab w:val="right" w:pos="9072"/>
      </w:tabs>
      <w:rPr>
        <w:rFonts w:cs="Arial"/>
      </w:rPr>
    </w:pPr>
    <w:r w:rsidRPr="00A54173">
      <w:rPr>
        <w:rFonts w:cs="Arial"/>
      </w:rPr>
      <w:fldChar w:fldCharType="begin"/>
    </w:r>
    <w:r w:rsidRPr="00A54173">
      <w:rPr>
        <w:rFonts w:cs="Arial"/>
      </w:rPr>
      <w:instrText xml:space="preserve"> DOCVARIABLE "dvCommitteeName"  \* Charformat </w:instrText>
    </w:r>
    <w:r w:rsidRPr="00A54173">
      <w:rPr>
        <w:rFonts w:cs="Arial"/>
      </w:rPr>
      <w:fldChar w:fldCharType="separate"/>
    </w:r>
    <w:r w:rsidR="00A72B99">
      <w:rPr>
        <w:rFonts w:cs="Arial"/>
      </w:rPr>
      <w:t>Local Planning Panel Meeting</w:t>
    </w:r>
    <w:r w:rsidRPr="00A54173">
      <w:rPr>
        <w:rFonts w:cs="Arial"/>
      </w:rPr>
      <w:fldChar w:fldCharType="end"/>
    </w:r>
    <w:r w:rsidRPr="00A54173">
      <w:rPr>
        <w:rFonts w:cs="Arial"/>
      </w:rPr>
      <w:tab/>
    </w:r>
    <w:r w:rsidR="00391704" w:rsidRPr="00A54173">
      <w:fldChar w:fldCharType="begin"/>
    </w:r>
    <w:r w:rsidR="00391704" w:rsidRPr="00A54173">
      <w:instrText xml:space="preserve"> DOCVARIABLE "dvDateMeeting" \@ "d/MM/yyyy" \* Charformat </w:instrText>
    </w:r>
    <w:r w:rsidR="00391704" w:rsidRPr="00A54173">
      <w:fldChar w:fldCharType="separate"/>
    </w:r>
    <w:r w:rsidR="00A72B99">
      <w:t>24/05/2023</w:t>
    </w:r>
    <w:r w:rsidR="00391704" w:rsidRPr="00A5417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68" w:rsidRPr="00645D40" w:rsidRDefault="006B0868" w:rsidP="006B0868">
    <w:pPr>
      <w:pBdr>
        <w:bottom w:val="single" w:sz="4" w:space="1" w:color="auto"/>
      </w:pBdr>
      <w:tabs>
        <w:tab w:val="right" w:pos="9072"/>
      </w:tabs>
      <w:rPr>
        <w:rFonts w:cs="Arial"/>
      </w:rPr>
    </w:pPr>
    <w:r w:rsidRPr="00645D40">
      <w:rPr>
        <w:noProof/>
        <w:lang w:eastAsia="en-AU"/>
      </w:rPr>
      <w:drawing>
        <wp:anchor distT="0" distB="0" distL="114300" distR="114300" simplePos="0" relativeHeight="251658240" behindDoc="1" locked="0" layoutInCell="1" allowOverlap="1" wp14:anchorId="2E266B7A" wp14:editId="12F5E211">
          <wp:simplePos x="0" y="0"/>
          <wp:positionH relativeFrom="column">
            <wp:posOffset>-24130</wp:posOffset>
          </wp:positionH>
          <wp:positionV relativeFrom="paragraph">
            <wp:posOffset>-531900</wp:posOffset>
          </wp:positionV>
          <wp:extent cx="1378800" cy="491519"/>
          <wp:effectExtent l="0" t="0" r="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ack%20Solid-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8800" cy="491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5D40">
      <w:rPr>
        <w:rFonts w:cs="Arial"/>
      </w:rPr>
      <w:fldChar w:fldCharType="begin"/>
    </w:r>
    <w:r w:rsidRPr="00645D40">
      <w:rPr>
        <w:rFonts w:cs="Arial"/>
      </w:rPr>
      <w:instrText xml:space="preserve"> DOCVARIABLE "dvCommitteeName"  \* Charformat </w:instrText>
    </w:r>
    <w:r w:rsidRPr="00645D40">
      <w:rPr>
        <w:rFonts w:cs="Arial"/>
      </w:rPr>
      <w:fldChar w:fldCharType="separate"/>
    </w:r>
    <w:r w:rsidR="00A72B99">
      <w:rPr>
        <w:rFonts w:cs="Arial"/>
      </w:rPr>
      <w:t>Local Planning Panel Meeting</w:t>
    </w:r>
    <w:r w:rsidRPr="00645D40">
      <w:rPr>
        <w:rFonts w:cs="Arial"/>
      </w:rPr>
      <w:fldChar w:fldCharType="end"/>
    </w:r>
    <w:r w:rsidRPr="00645D40">
      <w:rPr>
        <w:rFonts w:cs="Arial"/>
      </w:rPr>
      <w:tab/>
    </w:r>
    <w:r w:rsidRPr="00645D40">
      <w:fldChar w:fldCharType="begin"/>
    </w:r>
    <w:r w:rsidRPr="00645D40">
      <w:instrText xml:space="preserve"> DOCVARIABLE "dvDateMeeting" \@ "dd/MM/yyyy" \* Charformat </w:instrText>
    </w:r>
    <w:r w:rsidRPr="00645D40">
      <w:fldChar w:fldCharType="separate"/>
    </w:r>
    <w:r w:rsidR="00A72B99">
      <w:t>24/05/2023</w:t>
    </w:r>
    <w:r w:rsidRPr="00645D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647E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5A0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14AB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DE86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B0E9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E85C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E2CF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ECDA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F2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27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D205C0"/>
    <w:multiLevelType w:val="hybridMultilevel"/>
    <w:tmpl w:val="9BEE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D15ED"/>
    <w:multiLevelType w:val="hybridMultilevel"/>
    <w:tmpl w:val="CF4C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D70A05"/>
    <w:multiLevelType w:val="hybridMultilevel"/>
    <w:tmpl w:val="D1F43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C47D63"/>
    <w:multiLevelType w:val="hybridMultilevel"/>
    <w:tmpl w:val="20469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A86A21"/>
    <w:multiLevelType w:val="hybridMultilevel"/>
    <w:tmpl w:val="21CA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D4CF2"/>
    <w:multiLevelType w:val="multilevel"/>
    <w:tmpl w:val="0316CDA6"/>
    <w:numStyleLink w:val="ICRecommendationList"/>
  </w:abstractNum>
  <w:abstractNum w:abstractNumId="16" w15:restartNumberingAfterBreak="0">
    <w:nsid w:val="48E301A8"/>
    <w:multiLevelType w:val="multilevel"/>
    <w:tmpl w:val="0316CDA6"/>
    <w:numStyleLink w:val="ICRecommendationList"/>
  </w:abstractNum>
  <w:abstractNum w:abstractNumId="17" w15:restartNumberingAfterBreak="0">
    <w:nsid w:val="549D4F91"/>
    <w:multiLevelType w:val="multilevel"/>
    <w:tmpl w:val="0316CDA6"/>
    <w:numStyleLink w:val="ICRecommendationList"/>
  </w:abstractNum>
  <w:abstractNum w:abstractNumId="18" w15:restartNumberingAfterBreak="0">
    <w:nsid w:val="56234CEA"/>
    <w:multiLevelType w:val="multilevel"/>
    <w:tmpl w:val="0316CDA6"/>
    <w:numStyleLink w:val="ICRecommendationList"/>
  </w:abstractNum>
  <w:abstractNum w:abstractNumId="19" w15:restartNumberingAfterBreak="0">
    <w:nsid w:val="5A8A2A5A"/>
    <w:multiLevelType w:val="hybridMultilevel"/>
    <w:tmpl w:val="D090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D02D0"/>
    <w:multiLevelType w:val="multilevel"/>
    <w:tmpl w:val="0316CDA6"/>
    <w:numStyleLink w:val="ICRecommendationList"/>
  </w:abstractNum>
  <w:abstractNum w:abstractNumId="21" w15:restartNumberingAfterBreak="0">
    <w:nsid w:val="5EEA70A0"/>
    <w:multiLevelType w:val="multilevel"/>
    <w:tmpl w:val="0316CDA6"/>
    <w:styleLink w:val="ICRecommendationList"/>
    <w:lvl w:ilvl="0">
      <w:start w:val="1"/>
      <w:numFmt w:val="decimal"/>
      <w:pStyle w:val="ICRecNum1"/>
      <w:lvlText w:val="%1."/>
      <w:lvlJc w:val="left"/>
      <w:pPr>
        <w:tabs>
          <w:tab w:val="num" w:pos="567"/>
        </w:tabs>
        <w:ind w:left="567"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ICRecNum2"/>
      <w:lvlText w:val="%2."/>
      <w:lvlJc w:val="left"/>
      <w:pPr>
        <w:tabs>
          <w:tab w:val="num" w:pos="567"/>
        </w:tabs>
        <w:ind w:left="1009" w:hanging="442"/>
      </w:pPr>
      <w:rPr>
        <w:rFonts w:hint="default"/>
      </w:rPr>
    </w:lvl>
    <w:lvl w:ilvl="2">
      <w:start w:val="1"/>
      <w:numFmt w:val="bullet"/>
      <w:lvlText w:val=""/>
      <w:lvlJc w:val="left"/>
      <w:pPr>
        <w:ind w:left="1418" w:hanging="426"/>
      </w:pPr>
      <w:rPr>
        <w:rFonts w:ascii="Symbol" w:hAnsi="Symbol" w:hint="default"/>
      </w:rPr>
    </w:lvl>
    <w:lvl w:ilvl="3">
      <w:start w:val="1"/>
      <w:numFmt w:val="decimal"/>
      <w:lvlText w:val="%1.%2.%4"/>
      <w:lvlJc w:val="left"/>
      <w:pPr>
        <w:ind w:left="2268" w:hanging="850"/>
      </w:pPr>
      <w:rPr>
        <w:rFonts w:hint="default"/>
      </w:rPr>
    </w:lvl>
    <w:lvl w:ilvl="4">
      <w:start w:val="1"/>
      <w:numFmt w:val="bullet"/>
      <w:lvlText w:val=""/>
      <w:lvlJc w:val="left"/>
      <w:pPr>
        <w:ind w:left="2268" w:hanging="85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A23A35"/>
    <w:multiLevelType w:val="hybridMultilevel"/>
    <w:tmpl w:val="0B78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93D68"/>
    <w:multiLevelType w:val="hybridMultilevel"/>
    <w:tmpl w:val="A7A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63726"/>
    <w:multiLevelType w:val="multilevel"/>
    <w:tmpl w:val="0316CDA6"/>
    <w:numStyleLink w:val="ICRecommendationList"/>
  </w:abstractNum>
  <w:abstractNum w:abstractNumId="25" w15:restartNumberingAfterBreak="0">
    <w:nsid w:val="710100F0"/>
    <w:multiLevelType w:val="hybridMultilevel"/>
    <w:tmpl w:val="7850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53CBB"/>
    <w:multiLevelType w:val="hybridMultilevel"/>
    <w:tmpl w:val="E14A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660C"/>
    <w:multiLevelType w:val="multilevel"/>
    <w:tmpl w:val="0316CDA6"/>
    <w:numStyleLink w:val="ICRecommendationList"/>
  </w:abstractNum>
  <w:abstractNum w:abstractNumId="28" w15:restartNumberingAfterBreak="0">
    <w:nsid w:val="79ED3C07"/>
    <w:multiLevelType w:val="hybridMultilevel"/>
    <w:tmpl w:val="BD281B64"/>
    <w:lvl w:ilvl="0" w:tplc="19BA5C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36786B"/>
    <w:multiLevelType w:val="multilevel"/>
    <w:tmpl w:val="0316CDA6"/>
    <w:numStyleLink w:val="ICRecommendationList"/>
  </w:abstractNum>
  <w:num w:numId="1">
    <w:abstractNumId w:val="21"/>
  </w:num>
  <w:num w:numId="2">
    <w:abstractNumId w:val="25"/>
  </w:num>
  <w:num w:numId="3">
    <w:abstractNumId w:val="19"/>
  </w:num>
  <w:num w:numId="4">
    <w:abstractNumId w:val="22"/>
  </w:num>
  <w:num w:numId="5">
    <w:abstractNumId w:val="23"/>
  </w:num>
  <w:num w:numId="6">
    <w:abstractNumId w:val="26"/>
  </w:num>
  <w:num w:numId="7">
    <w:abstractNumId w:val="20"/>
  </w:num>
  <w:num w:numId="8">
    <w:abstractNumId w:val="17"/>
  </w:num>
  <w:num w:numId="9">
    <w:abstractNumId w:val="15"/>
  </w:num>
  <w:num w:numId="10">
    <w:abstractNumId w:val="18"/>
  </w:num>
  <w:num w:numId="11">
    <w:abstractNumId w:val="29"/>
  </w:num>
  <w:num w:numId="12">
    <w:abstractNumId w:val="24"/>
  </w:num>
  <w:num w:numId="13">
    <w:abstractNumId w:val="27"/>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1"/>
  </w:num>
  <w:num w:numId="27">
    <w:abstractNumId w:val="14"/>
  </w:num>
  <w:num w:numId="28">
    <w:abstractNumId w:val="12"/>
  </w:num>
  <w:num w:numId="29">
    <w:abstractNumId w:val="13"/>
  </w:num>
  <w:num w:numId="3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bsoluteMajority" w:val="Simple Majority"/>
    <w:docVar w:name="dvActualAgendaSection" w:val="Reports"/>
    <w:docVar w:name="dvActualAgendaSectionsId" w:val="6"/>
    <w:docVar w:name="dvAgendaHasAttachments" w:val="True"/>
    <w:docVar w:name="dvAgendaHasSigBlock" w:val="False"/>
    <w:docVar w:name="dvAgendaItem" w:val="Local Planning Panel Report"/>
    <w:docVar w:name="dvAgendaItemAbbreviation" w:val="IHAP"/>
    <w:docVar w:name="dvAgendaItemDocument" w:val=" "/>
    <w:docVar w:name="dvAgendaItemsID" w:val="23"/>
    <w:docVar w:name="dvAgendaSection" w:val="Reports"/>
    <w:docVar w:name="dvAgendaSectionName" w:val=" "/>
    <w:docVar w:name="dvAgendaSectionsID" w:val="6"/>
    <w:docVar w:name="dvApproved" w:val="False"/>
    <w:docVar w:name="dvApproversArray" w:val="515þ624þ451þ"/>
    <w:docVar w:name="dvAttachmentConfidentialFlag" w:val="False"/>
    <w:docVar w:name="dvAttachmentCount" w:val="1"/>
    <w:docVar w:name="dvAttachmentPages" w:val="0"/>
    <w:docVar w:name="dvAttachmentsArray" w:val="Proposed Floor Space Ratioý0ýýýýýFalseýFalseýFalseý1ý\\prod-cc-info\Infocouncil\Attachments\2696\14329\Proposed Amendment Floor Space Ratio.pdfý0ýFalseý16650ýFalseýýýýTrueýTrueýTrueýTrueýProposed Amendment Floor Space Ratio.pdfý0ý1753-Jan-01 12:00:00"/>
    <w:docVar w:name="dvAttachmentsChanged" w:val="False"/>
    <w:docVar w:name="dvAttachmentsSummary" w:val="1. Proposed Floor Space Ratio"/>
    <w:docVar w:name="dvAuthor" w:val="Jeff Burton"/>
    <w:docVar w:name="dvAuthor2" w:val=" "/>
    <w:docVar w:name="dvAuthor3" w:val=" "/>
    <w:docVar w:name="dvAuthorID" w:val="504"/>
    <w:docVar w:name="dvAuthorID2" w:val=" "/>
    <w:docVar w:name="dvAuthorID3" w:val=" "/>
    <w:docVar w:name="dvAuthorPhone" w:val=" "/>
    <w:docVar w:name="dvAuthors" w:val="Jeff Burton"/>
    <w:docVar w:name="dvAuthorsArray" w:val="504þ"/>
    <w:docVar w:name="dvAuthorTitle" w:val="Senior Strategic Environmental Planner"/>
    <w:docVar w:name="dvAuthorTitle2" w:val=" "/>
    <w:docVar w:name="dvAuthorTitle3" w:val=" "/>
    <w:docVar w:name="dvChairmansCommitteeArray" w:val=" "/>
    <w:docVar w:name="dvClosedStatusChanged" w:val="False"/>
    <w:docVar w:name="dvClosedText" w:val=" "/>
    <w:docVar w:name="dvCloudEditable" w:val="False"/>
    <w:docVar w:name="dvCommittee" w:val="Local Planning Panel"/>
    <w:docVar w:name="dvCommitteeAbbreviation" w:val="LPP"/>
    <w:docVar w:name="dvCommitteeEmailAddress" w:val=" "/>
    <w:docVar w:name="dvCommitteeId" w:val="12"/>
    <w:docVar w:name="dvCommitteeMeetingTypeId" w:val="7"/>
    <w:docVar w:name="dvCommitteeName" w:val="Local Planning Panel Meeting"/>
    <w:docVar w:name="dvCommitteeQuorum" w:val=" "/>
    <w:docVar w:name="dvCommitteeReportId" w:val="0"/>
    <w:docVar w:name="dvConfidentialType" w:val="P"/>
    <w:docVar w:name="dvCorroId" w:val="14329"/>
    <w:docVar w:name="dvCouncilId" w:val="0"/>
    <w:docVar w:name="dvCouncillorName" w:val="Councillor Jeff Burton has"/>
    <w:docVar w:name="dvCouncilText" w:val=" "/>
    <w:docVar w:name="dvCreatedOnline" w:val="False"/>
    <w:docVar w:name="dvCurrentReferencesArray" w:val=" "/>
    <w:docVar w:name="dvDAApplicant" w:val=" "/>
    <w:docVar w:name="dvDAOwner" w:val=" "/>
    <w:docVar w:name="dvDate" w:val="17 April 2023"/>
    <w:docVar w:name="dvDateMeeting" w:val="24 May 2023"/>
    <w:docVar w:name="dvDateMeetingDisplay" w:val="24 May 2023"/>
    <w:docVar w:name="dvDateMeetingFormatted" w:val=" "/>
    <w:docVar w:name="dvDateMeetingId" w:val="2696"/>
    <w:docVar w:name="dvDateModified" w:val="02 May 2023"/>
    <w:docVar w:name="dvDefaultFont" w:val="Arial"/>
    <w:docVar w:name="dvDeferredFromDate" w:val=" "/>
    <w:docVar w:name="dvDeferredFromMeetingId" w:val="0"/>
    <w:docVar w:name="dvDeferredFromSpecialFlag" w:val="False"/>
    <w:docVar w:name="dvDivisionHeadName" w:val="Jim Baldwin"/>
    <w:docVar w:name="dvDivisionId" w:val="4"/>
    <w:docVar w:name="dvDivisionName" w:val="City Planning and Environment"/>
    <w:docVar w:name="dvDocumentChanged" w:val="0"/>
    <w:docVar w:name="dvDocumentTypeName" w:val="Report"/>
    <w:docVar w:name="dvDoNotCheckIn" w:val="0"/>
    <w:docVar w:name="dvEDMSContainerId" w:val=" "/>
    <w:docVar w:name="dvEDMSContainerNumber" w:val=" "/>
    <w:docVar w:name="dvEDRMSAlternateFolderIds" w:val=" "/>
    <w:docVar w:name="dvEDRMSDestinationFolderId" w:val=" "/>
    <w:docVar w:name="dvFileName" w:val="LPP20230524_624_2696_1.DOCX"/>
    <w:docVar w:name="dvFileNumber" w:val=" "/>
    <w:docVar w:name="dvFilePath" w:val="\\prod-cc-info\Infocouncil\Documents\Local Planning Panel\Reports"/>
    <w:docVar w:name="dvFileRevisionNotRetained" w:val="False"/>
    <w:docVar w:name="dvForAction" w:val="True"/>
    <w:docVar w:name="dvForActionCompletionDate" w:val="07 June 2023"/>
    <w:docVar w:name="dvForceRevision" w:val="False"/>
    <w:docVar w:name="dvheadertext" w:val=" "/>
    <w:docVar w:name="dvItemNumber" w:val=" "/>
    <w:docVar w:name="dvItemNumberMasked" w:val="0.0"/>
    <w:docVar w:name="dvItemNumberMaskIdentifier" w:val=" "/>
    <w:docVar w:name="dvMasterProgramId" w:val="8"/>
    <w:docVar w:name="dvMasterProgramItem1" w:val="4 Economic Prosperity"/>
    <w:docVar w:name="dvMasterProgramItem2" w:val="4.2.1 Support the growth, productivity and diversity of the local economy"/>
    <w:docVar w:name="dvMasterProgramItem3" w:val=" "/>
    <w:docVar w:name="dvMasterProgramItem4" w:val=" "/>
    <w:docVar w:name="dvMasterProgramItemID" w:val="4321"/>
    <w:docVar w:name="dvMasterProgramItemsArray" w:val="4318þ4321þ"/>
    <w:docVar w:name="dvMasterProgramName" w:val="2032"/>
    <w:docVar w:name="dvMasterSequenceNumber" w:val=" "/>
    <w:docVar w:name="dvMeetingScheduleId" w:val="2696"/>
    <w:docVar w:name="dvMinutedForMayor" w:val="False"/>
    <w:docVar w:name="dvMinutedForName" w:val=" "/>
    <w:docVar w:name="dvMinutedForTitle" w:val=" "/>
    <w:docVar w:name="dvOfficers" w:val="Rad Blagojevic; David Smith; Megan Harrison"/>
    <w:docVar w:name="dvOfficersArray" w:val="Rad BlagojevicýCity Planning and EnvironmentþDavid SmithýCity Planning and EnvironmentþMegan HarrisonýCity Planning and Environmentþ"/>
    <w:docVar w:name="dvOldChairmansCommitteeArray" w:val=" "/>
    <w:docVar w:name="dvOldPresentations" w:val=" "/>
    <w:docVar w:name="dvOrderNumber" w:val="1"/>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4321þ4344"/>
    <w:docVar w:name="dvReferredFromCommitteeID" w:val="0"/>
    <w:docVar w:name="dvRefSpecialFlag" w:val="False"/>
    <w:docVar w:name="dvRegisterNumber" w:val="1"/>
    <w:docVar w:name="dvRelatedReportId" w:val="0"/>
    <w:docVar w:name="dvReportFrom" w:val="Coordinator Urban Development"/>
    <w:docVar w:name="dvReportName" w:val="0.0 Planning Proposal -  Amendment of Clause 4.4 'Floor Space Ratio' - Campbelltown Local Environment Plan 2015"/>
    <w:docVar w:name="dvReportNumber" w:val=" "/>
    <w:docVar w:name="dvReportText" w:val=" "/>
    <w:docVar w:name="dvReportTo" w:val="General Manager"/>
    <w:docVar w:name="dvRequestorsArray" w:val=" "/>
    <w:docVar w:name="dvSequenceNumber" w:val=" "/>
    <w:docVar w:name="dvSignificanceText" w:val=" "/>
    <w:docVar w:name="dvSortOrder" w:val="26"/>
    <w:docVar w:name="dvSpecialFlag" w:val="False"/>
    <w:docVar w:name="dvSubject" w:val="Planning Proposal -  Amendment of Clause 4.4 'Floor Space Ratio' - Campbelltown Local Environment Plan 2015"/>
    <w:docVar w:name="dvSubjectWithSoftReturns" w:val="Planning Proposal -  Amendment of Clause 4.4 'Floor Space Ratio' - Campbelltown Local Environment Plan 2015"/>
    <w:docVar w:name="dvSummaryAgendaSectionNo" w:val="0"/>
    <w:docVar w:name="dvSupplementary" w:val="False"/>
    <w:docVar w:name="dvTemplatesPath" w:val="\\prod-cc-info\Infocouncil\Templates"/>
    <w:docVar w:name="dvTimeMeeting" w:val="3.00pm"/>
    <w:docVar w:name="dvTitle" w:val="General Manager - Wednesday, 24 May 2023"/>
    <w:docVar w:name="dvTypistInitials" w:val="JB"/>
    <w:docVar w:name="dvUpdateDatabase" w:val="False"/>
    <w:docVar w:name="dvUpdateItemNo" w:val="False"/>
    <w:docVar w:name="dvUtility" w:val=" "/>
    <w:docVar w:name="dvUtilityCheckbox" w:val="False"/>
    <w:docVar w:name="dvUtilityCheckbox2" w:val="False"/>
    <w:docVar w:name="dvYear" w:val="2023"/>
  </w:docVars>
  <w:rsids>
    <w:rsidRoot w:val="00806C1A"/>
    <w:rsid w:val="0000011C"/>
    <w:rsid w:val="0000067E"/>
    <w:rsid w:val="00001622"/>
    <w:rsid w:val="000032A0"/>
    <w:rsid w:val="000047C2"/>
    <w:rsid w:val="00006B2F"/>
    <w:rsid w:val="00007CE1"/>
    <w:rsid w:val="00007EF5"/>
    <w:rsid w:val="00013BA2"/>
    <w:rsid w:val="00014C85"/>
    <w:rsid w:val="0001707C"/>
    <w:rsid w:val="000334B4"/>
    <w:rsid w:val="00033D64"/>
    <w:rsid w:val="00035EED"/>
    <w:rsid w:val="0004246E"/>
    <w:rsid w:val="00051553"/>
    <w:rsid w:val="00051FA3"/>
    <w:rsid w:val="0005277A"/>
    <w:rsid w:val="00053733"/>
    <w:rsid w:val="000557D7"/>
    <w:rsid w:val="00057AB7"/>
    <w:rsid w:val="000625B3"/>
    <w:rsid w:val="0006485D"/>
    <w:rsid w:val="00065892"/>
    <w:rsid w:val="00067A7F"/>
    <w:rsid w:val="00072565"/>
    <w:rsid w:val="00075819"/>
    <w:rsid w:val="00075D75"/>
    <w:rsid w:val="00082219"/>
    <w:rsid w:val="00082504"/>
    <w:rsid w:val="00082FA0"/>
    <w:rsid w:val="0008321E"/>
    <w:rsid w:val="0008355E"/>
    <w:rsid w:val="00084ABF"/>
    <w:rsid w:val="000852C8"/>
    <w:rsid w:val="0008717B"/>
    <w:rsid w:val="00087DF5"/>
    <w:rsid w:val="000903E3"/>
    <w:rsid w:val="000915C8"/>
    <w:rsid w:val="00091790"/>
    <w:rsid w:val="00095326"/>
    <w:rsid w:val="00096ABB"/>
    <w:rsid w:val="000A1FE6"/>
    <w:rsid w:val="000A21E7"/>
    <w:rsid w:val="000A5F2A"/>
    <w:rsid w:val="000B280E"/>
    <w:rsid w:val="000B56F3"/>
    <w:rsid w:val="000C32A9"/>
    <w:rsid w:val="000C40E4"/>
    <w:rsid w:val="000C68D1"/>
    <w:rsid w:val="000C698C"/>
    <w:rsid w:val="000C6C47"/>
    <w:rsid w:val="000D1326"/>
    <w:rsid w:val="000D60BF"/>
    <w:rsid w:val="000E1CD0"/>
    <w:rsid w:val="000E4BA8"/>
    <w:rsid w:val="000F0ACE"/>
    <w:rsid w:val="000F2749"/>
    <w:rsid w:val="000F3E80"/>
    <w:rsid w:val="000F4B01"/>
    <w:rsid w:val="000F55E4"/>
    <w:rsid w:val="000F72B0"/>
    <w:rsid w:val="001026A2"/>
    <w:rsid w:val="0010396D"/>
    <w:rsid w:val="00117915"/>
    <w:rsid w:val="00120A51"/>
    <w:rsid w:val="00122820"/>
    <w:rsid w:val="00123C8E"/>
    <w:rsid w:val="00125835"/>
    <w:rsid w:val="00126F51"/>
    <w:rsid w:val="0012712A"/>
    <w:rsid w:val="001317CE"/>
    <w:rsid w:val="00132635"/>
    <w:rsid w:val="001330C4"/>
    <w:rsid w:val="00134D11"/>
    <w:rsid w:val="00140B0D"/>
    <w:rsid w:val="00142FDA"/>
    <w:rsid w:val="00145EDD"/>
    <w:rsid w:val="0014614A"/>
    <w:rsid w:val="00146B00"/>
    <w:rsid w:val="001479D3"/>
    <w:rsid w:val="0015029F"/>
    <w:rsid w:val="00151DB4"/>
    <w:rsid w:val="00152F5B"/>
    <w:rsid w:val="00152FAA"/>
    <w:rsid w:val="00155743"/>
    <w:rsid w:val="00160918"/>
    <w:rsid w:val="001616E2"/>
    <w:rsid w:val="001652A2"/>
    <w:rsid w:val="00166F20"/>
    <w:rsid w:val="00167222"/>
    <w:rsid w:val="00172ABF"/>
    <w:rsid w:val="00172DF6"/>
    <w:rsid w:val="00173845"/>
    <w:rsid w:val="00174A26"/>
    <w:rsid w:val="00181474"/>
    <w:rsid w:val="001820CA"/>
    <w:rsid w:val="001871DA"/>
    <w:rsid w:val="001877C2"/>
    <w:rsid w:val="001906F9"/>
    <w:rsid w:val="001914C5"/>
    <w:rsid w:val="0019650B"/>
    <w:rsid w:val="001A1351"/>
    <w:rsid w:val="001A16D8"/>
    <w:rsid w:val="001A1C3C"/>
    <w:rsid w:val="001A20E5"/>
    <w:rsid w:val="001A3FEA"/>
    <w:rsid w:val="001B64EC"/>
    <w:rsid w:val="001C07C6"/>
    <w:rsid w:val="001C09CC"/>
    <w:rsid w:val="001C1D76"/>
    <w:rsid w:val="001C3212"/>
    <w:rsid w:val="001C59FF"/>
    <w:rsid w:val="001D05D0"/>
    <w:rsid w:val="001D0807"/>
    <w:rsid w:val="001D17DE"/>
    <w:rsid w:val="001D4B63"/>
    <w:rsid w:val="001D52F5"/>
    <w:rsid w:val="001D6C7A"/>
    <w:rsid w:val="001D6F4D"/>
    <w:rsid w:val="001E1BEB"/>
    <w:rsid w:val="001E1D6B"/>
    <w:rsid w:val="001E3471"/>
    <w:rsid w:val="001F1472"/>
    <w:rsid w:val="001F7A16"/>
    <w:rsid w:val="002000B9"/>
    <w:rsid w:val="00201D28"/>
    <w:rsid w:val="00204387"/>
    <w:rsid w:val="00210C06"/>
    <w:rsid w:val="0021350D"/>
    <w:rsid w:val="0021354C"/>
    <w:rsid w:val="00214C93"/>
    <w:rsid w:val="00215AE7"/>
    <w:rsid w:val="00216D84"/>
    <w:rsid w:val="00225503"/>
    <w:rsid w:val="00233C4C"/>
    <w:rsid w:val="00234E6A"/>
    <w:rsid w:val="00234F82"/>
    <w:rsid w:val="00236FC0"/>
    <w:rsid w:val="0024210A"/>
    <w:rsid w:val="002438D1"/>
    <w:rsid w:val="00245A64"/>
    <w:rsid w:val="00246F29"/>
    <w:rsid w:val="00250D75"/>
    <w:rsid w:val="00251D7B"/>
    <w:rsid w:val="00256792"/>
    <w:rsid w:val="00256A90"/>
    <w:rsid w:val="002610E9"/>
    <w:rsid w:val="00261DCC"/>
    <w:rsid w:val="00263799"/>
    <w:rsid w:val="002644F3"/>
    <w:rsid w:val="002712C9"/>
    <w:rsid w:val="00271AE5"/>
    <w:rsid w:val="00275037"/>
    <w:rsid w:val="00275447"/>
    <w:rsid w:val="00275C6C"/>
    <w:rsid w:val="00276160"/>
    <w:rsid w:val="00284CEB"/>
    <w:rsid w:val="00285E48"/>
    <w:rsid w:val="00286871"/>
    <w:rsid w:val="002906E4"/>
    <w:rsid w:val="0029229A"/>
    <w:rsid w:val="00294A96"/>
    <w:rsid w:val="0029568B"/>
    <w:rsid w:val="002A147D"/>
    <w:rsid w:val="002B020B"/>
    <w:rsid w:val="002B14A5"/>
    <w:rsid w:val="002B3CB3"/>
    <w:rsid w:val="002B4E33"/>
    <w:rsid w:val="002B535A"/>
    <w:rsid w:val="002B5E34"/>
    <w:rsid w:val="002B74E2"/>
    <w:rsid w:val="002C1164"/>
    <w:rsid w:val="002C2402"/>
    <w:rsid w:val="002C4644"/>
    <w:rsid w:val="002C49D6"/>
    <w:rsid w:val="002D3115"/>
    <w:rsid w:val="002D4EDF"/>
    <w:rsid w:val="002D601E"/>
    <w:rsid w:val="002D7173"/>
    <w:rsid w:val="002E208E"/>
    <w:rsid w:val="002E2254"/>
    <w:rsid w:val="002E74F6"/>
    <w:rsid w:val="002F088B"/>
    <w:rsid w:val="002F1218"/>
    <w:rsid w:val="002F2850"/>
    <w:rsid w:val="002F62A3"/>
    <w:rsid w:val="002F7089"/>
    <w:rsid w:val="00303171"/>
    <w:rsid w:val="00303D35"/>
    <w:rsid w:val="00304756"/>
    <w:rsid w:val="00305DC9"/>
    <w:rsid w:val="00311949"/>
    <w:rsid w:val="00312A86"/>
    <w:rsid w:val="00313990"/>
    <w:rsid w:val="003167B1"/>
    <w:rsid w:val="00316D3F"/>
    <w:rsid w:val="003174E6"/>
    <w:rsid w:val="00321CC1"/>
    <w:rsid w:val="003247B6"/>
    <w:rsid w:val="003258B9"/>
    <w:rsid w:val="00325AAE"/>
    <w:rsid w:val="00334EE5"/>
    <w:rsid w:val="00340464"/>
    <w:rsid w:val="003430C8"/>
    <w:rsid w:val="0034392B"/>
    <w:rsid w:val="0034426C"/>
    <w:rsid w:val="0034718A"/>
    <w:rsid w:val="003501C4"/>
    <w:rsid w:val="00356BA6"/>
    <w:rsid w:val="003608D1"/>
    <w:rsid w:val="003608E4"/>
    <w:rsid w:val="00361FFA"/>
    <w:rsid w:val="003628C3"/>
    <w:rsid w:val="00364B5D"/>
    <w:rsid w:val="0036634E"/>
    <w:rsid w:val="00366494"/>
    <w:rsid w:val="0037786B"/>
    <w:rsid w:val="00380117"/>
    <w:rsid w:val="00380677"/>
    <w:rsid w:val="0038166D"/>
    <w:rsid w:val="00383678"/>
    <w:rsid w:val="00390419"/>
    <w:rsid w:val="0039042F"/>
    <w:rsid w:val="003913AE"/>
    <w:rsid w:val="00391704"/>
    <w:rsid w:val="00393035"/>
    <w:rsid w:val="003943B9"/>
    <w:rsid w:val="00396745"/>
    <w:rsid w:val="003A20BC"/>
    <w:rsid w:val="003A6456"/>
    <w:rsid w:val="003A6F44"/>
    <w:rsid w:val="003A7BD0"/>
    <w:rsid w:val="003B0476"/>
    <w:rsid w:val="003B12B6"/>
    <w:rsid w:val="003B27CB"/>
    <w:rsid w:val="003B2892"/>
    <w:rsid w:val="003B3741"/>
    <w:rsid w:val="003B5C5E"/>
    <w:rsid w:val="003C2A6E"/>
    <w:rsid w:val="003C3162"/>
    <w:rsid w:val="003C592A"/>
    <w:rsid w:val="003C77D2"/>
    <w:rsid w:val="003D070B"/>
    <w:rsid w:val="003D1C55"/>
    <w:rsid w:val="003D1F0A"/>
    <w:rsid w:val="003D2108"/>
    <w:rsid w:val="003D5037"/>
    <w:rsid w:val="003D5E22"/>
    <w:rsid w:val="003E1B4A"/>
    <w:rsid w:val="003E5483"/>
    <w:rsid w:val="003E64A6"/>
    <w:rsid w:val="003E66FC"/>
    <w:rsid w:val="003F301A"/>
    <w:rsid w:val="003F3A23"/>
    <w:rsid w:val="003F64EB"/>
    <w:rsid w:val="003F7F23"/>
    <w:rsid w:val="00411BDA"/>
    <w:rsid w:val="00414469"/>
    <w:rsid w:val="00415276"/>
    <w:rsid w:val="00416150"/>
    <w:rsid w:val="004240BF"/>
    <w:rsid w:val="0042489D"/>
    <w:rsid w:val="00425B80"/>
    <w:rsid w:val="00426044"/>
    <w:rsid w:val="004261CF"/>
    <w:rsid w:val="00433221"/>
    <w:rsid w:val="00434A7F"/>
    <w:rsid w:val="004366F3"/>
    <w:rsid w:val="00440245"/>
    <w:rsid w:val="00444090"/>
    <w:rsid w:val="00447D07"/>
    <w:rsid w:val="00453F00"/>
    <w:rsid w:val="004542BE"/>
    <w:rsid w:val="004560B7"/>
    <w:rsid w:val="00465053"/>
    <w:rsid w:val="00467889"/>
    <w:rsid w:val="00470568"/>
    <w:rsid w:val="00475A5C"/>
    <w:rsid w:val="004809FE"/>
    <w:rsid w:val="004824BD"/>
    <w:rsid w:val="00484DDE"/>
    <w:rsid w:val="00487B60"/>
    <w:rsid w:val="00492368"/>
    <w:rsid w:val="004A149E"/>
    <w:rsid w:val="004A459E"/>
    <w:rsid w:val="004A75E3"/>
    <w:rsid w:val="004B4583"/>
    <w:rsid w:val="004B5469"/>
    <w:rsid w:val="004B7C55"/>
    <w:rsid w:val="004C78C5"/>
    <w:rsid w:val="004D4923"/>
    <w:rsid w:val="004D5638"/>
    <w:rsid w:val="004D78E6"/>
    <w:rsid w:val="004E0BE0"/>
    <w:rsid w:val="004E2438"/>
    <w:rsid w:val="004E4B34"/>
    <w:rsid w:val="004E4D85"/>
    <w:rsid w:val="004E79FF"/>
    <w:rsid w:val="004E7E63"/>
    <w:rsid w:val="004F226A"/>
    <w:rsid w:val="004F3E17"/>
    <w:rsid w:val="004F6083"/>
    <w:rsid w:val="004F6378"/>
    <w:rsid w:val="005022B2"/>
    <w:rsid w:val="00503B2E"/>
    <w:rsid w:val="005062CA"/>
    <w:rsid w:val="00507DAA"/>
    <w:rsid w:val="00511FC8"/>
    <w:rsid w:val="00514D87"/>
    <w:rsid w:val="005151CF"/>
    <w:rsid w:val="005163DF"/>
    <w:rsid w:val="00520CE8"/>
    <w:rsid w:val="00520E3B"/>
    <w:rsid w:val="00522ADC"/>
    <w:rsid w:val="00523C44"/>
    <w:rsid w:val="0052420E"/>
    <w:rsid w:val="00532194"/>
    <w:rsid w:val="00541971"/>
    <w:rsid w:val="005435F2"/>
    <w:rsid w:val="0054394E"/>
    <w:rsid w:val="00545762"/>
    <w:rsid w:val="005459CF"/>
    <w:rsid w:val="0054627A"/>
    <w:rsid w:val="00546FFC"/>
    <w:rsid w:val="0054708F"/>
    <w:rsid w:val="00547F20"/>
    <w:rsid w:val="00550EA9"/>
    <w:rsid w:val="00552995"/>
    <w:rsid w:val="00552A27"/>
    <w:rsid w:val="00555023"/>
    <w:rsid w:val="0055710F"/>
    <w:rsid w:val="005666C4"/>
    <w:rsid w:val="00566ABF"/>
    <w:rsid w:val="00574877"/>
    <w:rsid w:val="00584B93"/>
    <w:rsid w:val="00590DF7"/>
    <w:rsid w:val="00596473"/>
    <w:rsid w:val="00597AE0"/>
    <w:rsid w:val="005A1448"/>
    <w:rsid w:val="005A4625"/>
    <w:rsid w:val="005A7E40"/>
    <w:rsid w:val="005B1566"/>
    <w:rsid w:val="005B1B39"/>
    <w:rsid w:val="005B3D4B"/>
    <w:rsid w:val="005B4792"/>
    <w:rsid w:val="005B7DCD"/>
    <w:rsid w:val="005C300D"/>
    <w:rsid w:val="005C3A0D"/>
    <w:rsid w:val="005D64E8"/>
    <w:rsid w:val="005D734C"/>
    <w:rsid w:val="005E2013"/>
    <w:rsid w:val="005E3AFC"/>
    <w:rsid w:val="005E3EC8"/>
    <w:rsid w:val="005F1A4D"/>
    <w:rsid w:val="005F690D"/>
    <w:rsid w:val="005F7DE4"/>
    <w:rsid w:val="0060154B"/>
    <w:rsid w:val="00605247"/>
    <w:rsid w:val="00605533"/>
    <w:rsid w:val="0061020D"/>
    <w:rsid w:val="006156A7"/>
    <w:rsid w:val="00620DD2"/>
    <w:rsid w:val="006212DE"/>
    <w:rsid w:val="0062302B"/>
    <w:rsid w:val="006278CB"/>
    <w:rsid w:val="00627931"/>
    <w:rsid w:val="00631112"/>
    <w:rsid w:val="00633A59"/>
    <w:rsid w:val="00634CF6"/>
    <w:rsid w:val="006368AE"/>
    <w:rsid w:val="00641DBF"/>
    <w:rsid w:val="0064442C"/>
    <w:rsid w:val="00645D40"/>
    <w:rsid w:val="00645F80"/>
    <w:rsid w:val="006465EF"/>
    <w:rsid w:val="00650D75"/>
    <w:rsid w:val="00655D57"/>
    <w:rsid w:val="00662D3D"/>
    <w:rsid w:val="00664FEE"/>
    <w:rsid w:val="006656F3"/>
    <w:rsid w:val="0066607B"/>
    <w:rsid w:val="00666F7D"/>
    <w:rsid w:val="0067066B"/>
    <w:rsid w:val="0067068B"/>
    <w:rsid w:val="00670811"/>
    <w:rsid w:val="00673424"/>
    <w:rsid w:val="0067512A"/>
    <w:rsid w:val="0068099B"/>
    <w:rsid w:val="00682A79"/>
    <w:rsid w:val="00685ED5"/>
    <w:rsid w:val="006875A0"/>
    <w:rsid w:val="0068787F"/>
    <w:rsid w:val="00690357"/>
    <w:rsid w:val="00691504"/>
    <w:rsid w:val="006932CC"/>
    <w:rsid w:val="0069620D"/>
    <w:rsid w:val="006A138E"/>
    <w:rsid w:val="006A1683"/>
    <w:rsid w:val="006A231A"/>
    <w:rsid w:val="006A2F5B"/>
    <w:rsid w:val="006A3CDC"/>
    <w:rsid w:val="006A40E7"/>
    <w:rsid w:val="006A4D2F"/>
    <w:rsid w:val="006A52E1"/>
    <w:rsid w:val="006A6420"/>
    <w:rsid w:val="006B0868"/>
    <w:rsid w:val="006B639A"/>
    <w:rsid w:val="006C7090"/>
    <w:rsid w:val="006C7F79"/>
    <w:rsid w:val="006D06B2"/>
    <w:rsid w:val="006D78B4"/>
    <w:rsid w:val="006E384C"/>
    <w:rsid w:val="006E3F3C"/>
    <w:rsid w:val="006F0148"/>
    <w:rsid w:val="006F3747"/>
    <w:rsid w:val="006F4BB9"/>
    <w:rsid w:val="006F517A"/>
    <w:rsid w:val="006F6274"/>
    <w:rsid w:val="006F6C00"/>
    <w:rsid w:val="006F6D50"/>
    <w:rsid w:val="006F7B9A"/>
    <w:rsid w:val="00702D4A"/>
    <w:rsid w:val="00706C16"/>
    <w:rsid w:val="007076B2"/>
    <w:rsid w:val="007100B7"/>
    <w:rsid w:val="0071350B"/>
    <w:rsid w:val="0071598D"/>
    <w:rsid w:val="00716CFE"/>
    <w:rsid w:val="0072009E"/>
    <w:rsid w:val="0072127E"/>
    <w:rsid w:val="007235D9"/>
    <w:rsid w:val="00723CB1"/>
    <w:rsid w:val="00724EC7"/>
    <w:rsid w:val="00736914"/>
    <w:rsid w:val="00736ED8"/>
    <w:rsid w:val="00737D20"/>
    <w:rsid w:val="00743486"/>
    <w:rsid w:val="0074501C"/>
    <w:rsid w:val="0074698A"/>
    <w:rsid w:val="00747478"/>
    <w:rsid w:val="00750E2F"/>
    <w:rsid w:val="007519D9"/>
    <w:rsid w:val="00753828"/>
    <w:rsid w:val="00756D14"/>
    <w:rsid w:val="00756E1A"/>
    <w:rsid w:val="0076114E"/>
    <w:rsid w:val="007622F5"/>
    <w:rsid w:val="0076302B"/>
    <w:rsid w:val="00763807"/>
    <w:rsid w:val="00774329"/>
    <w:rsid w:val="00775BDB"/>
    <w:rsid w:val="00781255"/>
    <w:rsid w:val="00782B33"/>
    <w:rsid w:val="00784138"/>
    <w:rsid w:val="00787F65"/>
    <w:rsid w:val="007916F4"/>
    <w:rsid w:val="00792F6D"/>
    <w:rsid w:val="007931E1"/>
    <w:rsid w:val="00793F67"/>
    <w:rsid w:val="0079768B"/>
    <w:rsid w:val="007A1F11"/>
    <w:rsid w:val="007A2EA2"/>
    <w:rsid w:val="007A481A"/>
    <w:rsid w:val="007A737A"/>
    <w:rsid w:val="007B4D4C"/>
    <w:rsid w:val="007C30B2"/>
    <w:rsid w:val="007C5F03"/>
    <w:rsid w:val="007C60F6"/>
    <w:rsid w:val="007C6E7D"/>
    <w:rsid w:val="007D0882"/>
    <w:rsid w:val="007E0424"/>
    <w:rsid w:val="007E61DA"/>
    <w:rsid w:val="007E773F"/>
    <w:rsid w:val="007F2D5A"/>
    <w:rsid w:val="007F4277"/>
    <w:rsid w:val="007F435A"/>
    <w:rsid w:val="008011BA"/>
    <w:rsid w:val="00801ECA"/>
    <w:rsid w:val="00803A4F"/>
    <w:rsid w:val="00806C1A"/>
    <w:rsid w:val="00806CCE"/>
    <w:rsid w:val="00807C4C"/>
    <w:rsid w:val="0081212E"/>
    <w:rsid w:val="008124CD"/>
    <w:rsid w:val="00820DD7"/>
    <w:rsid w:val="0082384D"/>
    <w:rsid w:val="00824307"/>
    <w:rsid w:val="00825291"/>
    <w:rsid w:val="00825636"/>
    <w:rsid w:val="00825B46"/>
    <w:rsid w:val="0082623A"/>
    <w:rsid w:val="00826A29"/>
    <w:rsid w:val="00832062"/>
    <w:rsid w:val="00843520"/>
    <w:rsid w:val="00843860"/>
    <w:rsid w:val="00845CF4"/>
    <w:rsid w:val="00847678"/>
    <w:rsid w:val="008479DA"/>
    <w:rsid w:val="0085111B"/>
    <w:rsid w:val="00854456"/>
    <w:rsid w:val="0085798C"/>
    <w:rsid w:val="008630A2"/>
    <w:rsid w:val="0086424E"/>
    <w:rsid w:val="008658BB"/>
    <w:rsid w:val="00866650"/>
    <w:rsid w:val="00867D43"/>
    <w:rsid w:val="008715D6"/>
    <w:rsid w:val="008724A2"/>
    <w:rsid w:val="00872E4E"/>
    <w:rsid w:val="008759C6"/>
    <w:rsid w:val="00876835"/>
    <w:rsid w:val="008811E1"/>
    <w:rsid w:val="00882CF1"/>
    <w:rsid w:val="00885C8B"/>
    <w:rsid w:val="008877FE"/>
    <w:rsid w:val="00892848"/>
    <w:rsid w:val="00894342"/>
    <w:rsid w:val="008945C1"/>
    <w:rsid w:val="00894798"/>
    <w:rsid w:val="0089657B"/>
    <w:rsid w:val="008A02DD"/>
    <w:rsid w:val="008A1F21"/>
    <w:rsid w:val="008A5AFB"/>
    <w:rsid w:val="008A70B5"/>
    <w:rsid w:val="008B27F1"/>
    <w:rsid w:val="008C5DEB"/>
    <w:rsid w:val="008C7C22"/>
    <w:rsid w:val="008D2D5D"/>
    <w:rsid w:val="008D2FB2"/>
    <w:rsid w:val="008D328F"/>
    <w:rsid w:val="008D472B"/>
    <w:rsid w:val="008D76CD"/>
    <w:rsid w:val="008E0010"/>
    <w:rsid w:val="008E0612"/>
    <w:rsid w:val="008E1AB0"/>
    <w:rsid w:val="008E1FCA"/>
    <w:rsid w:val="008E3177"/>
    <w:rsid w:val="008F1313"/>
    <w:rsid w:val="008F2E77"/>
    <w:rsid w:val="008F44EA"/>
    <w:rsid w:val="008F7148"/>
    <w:rsid w:val="009012A3"/>
    <w:rsid w:val="0090460C"/>
    <w:rsid w:val="00905A26"/>
    <w:rsid w:val="00907783"/>
    <w:rsid w:val="009151E2"/>
    <w:rsid w:val="00915EBD"/>
    <w:rsid w:val="009209C1"/>
    <w:rsid w:val="009211C9"/>
    <w:rsid w:val="00922497"/>
    <w:rsid w:val="009261AE"/>
    <w:rsid w:val="00926CA2"/>
    <w:rsid w:val="00927277"/>
    <w:rsid w:val="00930320"/>
    <w:rsid w:val="00930651"/>
    <w:rsid w:val="00931726"/>
    <w:rsid w:val="009341A3"/>
    <w:rsid w:val="009360BF"/>
    <w:rsid w:val="00936100"/>
    <w:rsid w:val="00944D0D"/>
    <w:rsid w:val="009501EF"/>
    <w:rsid w:val="00953304"/>
    <w:rsid w:val="00960206"/>
    <w:rsid w:val="00960F07"/>
    <w:rsid w:val="009621D1"/>
    <w:rsid w:val="00964D79"/>
    <w:rsid w:val="009661E8"/>
    <w:rsid w:val="009707C0"/>
    <w:rsid w:val="00972655"/>
    <w:rsid w:val="0097300B"/>
    <w:rsid w:val="009744F4"/>
    <w:rsid w:val="009745E0"/>
    <w:rsid w:val="00975C96"/>
    <w:rsid w:val="0097635B"/>
    <w:rsid w:val="00981D41"/>
    <w:rsid w:val="009858DF"/>
    <w:rsid w:val="0099019D"/>
    <w:rsid w:val="00994827"/>
    <w:rsid w:val="00994BFF"/>
    <w:rsid w:val="009A3734"/>
    <w:rsid w:val="009A4233"/>
    <w:rsid w:val="009A4564"/>
    <w:rsid w:val="009A6823"/>
    <w:rsid w:val="009A6B63"/>
    <w:rsid w:val="009B10B2"/>
    <w:rsid w:val="009B25E1"/>
    <w:rsid w:val="009B32ED"/>
    <w:rsid w:val="009B42FC"/>
    <w:rsid w:val="009C372C"/>
    <w:rsid w:val="009C6C52"/>
    <w:rsid w:val="009C6DFB"/>
    <w:rsid w:val="009D2F25"/>
    <w:rsid w:val="009D61E7"/>
    <w:rsid w:val="009D6425"/>
    <w:rsid w:val="009D75C5"/>
    <w:rsid w:val="009D7717"/>
    <w:rsid w:val="009E0D56"/>
    <w:rsid w:val="009E6E92"/>
    <w:rsid w:val="009F00BC"/>
    <w:rsid w:val="009F16F9"/>
    <w:rsid w:val="009F24E9"/>
    <w:rsid w:val="00A01094"/>
    <w:rsid w:val="00A01DA1"/>
    <w:rsid w:val="00A041F9"/>
    <w:rsid w:val="00A065AC"/>
    <w:rsid w:val="00A06DCF"/>
    <w:rsid w:val="00A11506"/>
    <w:rsid w:val="00A13327"/>
    <w:rsid w:val="00A1568F"/>
    <w:rsid w:val="00A1616C"/>
    <w:rsid w:val="00A20AD4"/>
    <w:rsid w:val="00A216F4"/>
    <w:rsid w:val="00A22404"/>
    <w:rsid w:val="00A275B1"/>
    <w:rsid w:val="00A27909"/>
    <w:rsid w:val="00A321A9"/>
    <w:rsid w:val="00A404F9"/>
    <w:rsid w:val="00A429D0"/>
    <w:rsid w:val="00A42B27"/>
    <w:rsid w:val="00A4555F"/>
    <w:rsid w:val="00A479CC"/>
    <w:rsid w:val="00A5275B"/>
    <w:rsid w:val="00A529BA"/>
    <w:rsid w:val="00A52FDD"/>
    <w:rsid w:val="00A54173"/>
    <w:rsid w:val="00A55FE4"/>
    <w:rsid w:val="00A6030F"/>
    <w:rsid w:val="00A60E7A"/>
    <w:rsid w:val="00A65173"/>
    <w:rsid w:val="00A65404"/>
    <w:rsid w:val="00A66132"/>
    <w:rsid w:val="00A66B8D"/>
    <w:rsid w:val="00A720CD"/>
    <w:rsid w:val="00A72B99"/>
    <w:rsid w:val="00A76A86"/>
    <w:rsid w:val="00A77812"/>
    <w:rsid w:val="00A80473"/>
    <w:rsid w:val="00A86004"/>
    <w:rsid w:val="00A867FE"/>
    <w:rsid w:val="00A91A41"/>
    <w:rsid w:val="00A92FF7"/>
    <w:rsid w:val="00A93DD8"/>
    <w:rsid w:val="00AA04F8"/>
    <w:rsid w:val="00AA5BA9"/>
    <w:rsid w:val="00AB0488"/>
    <w:rsid w:val="00AB0EB1"/>
    <w:rsid w:val="00AB151F"/>
    <w:rsid w:val="00AB30AE"/>
    <w:rsid w:val="00AB3E94"/>
    <w:rsid w:val="00AB5351"/>
    <w:rsid w:val="00AB5652"/>
    <w:rsid w:val="00AC3134"/>
    <w:rsid w:val="00AC48BD"/>
    <w:rsid w:val="00AC658F"/>
    <w:rsid w:val="00AD3B40"/>
    <w:rsid w:val="00AD503D"/>
    <w:rsid w:val="00AE049B"/>
    <w:rsid w:val="00AE2B6E"/>
    <w:rsid w:val="00AE38A6"/>
    <w:rsid w:val="00AE4200"/>
    <w:rsid w:val="00AE6BE3"/>
    <w:rsid w:val="00AF2663"/>
    <w:rsid w:val="00AF2C49"/>
    <w:rsid w:val="00B1060B"/>
    <w:rsid w:val="00B10DA4"/>
    <w:rsid w:val="00B1438F"/>
    <w:rsid w:val="00B14A3E"/>
    <w:rsid w:val="00B15C45"/>
    <w:rsid w:val="00B1677C"/>
    <w:rsid w:val="00B26846"/>
    <w:rsid w:val="00B27E0B"/>
    <w:rsid w:val="00B31035"/>
    <w:rsid w:val="00B32D7F"/>
    <w:rsid w:val="00B34F2B"/>
    <w:rsid w:val="00B3575E"/>
    <w:rsid w:val="00B3793F"/>
    <w:rsid w:val="00B41873"/>
    <w:rsid w:val="00B41972"/>
    <w:rsid w:val="00B421A5"/>
    <w:rsid w:val="00B45235"/>
    <w:rsid w:val="00B50F47"/>
    <w:rsid w:val="00B56D80"/>
    <w:rsid w:val="00B57C39"/>
    <w:rsid w:val="00B60493"/>
    <w:rsid w:val="00B635BE"/>
    <w:rsid w:val="00B63A0D"/>
    <w:rsid w:val="00B65786"/>
    <w:rsid w:val="00B65F81"/>
    <w:rsid w:val="00B67051"/>
    <w:rsid w:val="00B6759F"/>
    <w:rsid w:val="00B77134"/>
    <w:rsid w:val="00B841DC"/>
    <w:rsid w:val="00B846BA"/>
    <w:rsid w:val="00B94C53"/>
    <w:rsid w:val="00B96823"/>
    <w:rsid w:val="00BA1FE5"/>
    <w:rsid w:val="00BA2382"/>
    <w:rsid w:val="00BA2F6A"/>
    <w:rsid w:val="00BA6193"/>
    <w:rsid w:val="00BA7375"/>
    <w:rsid w:val="00BB098A"/>
    <w:rsid w:val="00BB0B91"/>
    <w:rsid w:val="00BB1480"/>
    <w:rsid w:val="00BB245A"/>
    <w:rsid w:val="00BB27D1"/>
    <w:rsid w:val="00BB3B01"/>
    <w:rsid w:val="00BB5F13"/>
    <w:rsid w:val="00BB5F15"/>
    <w:rsid w:val="00BB6142"/>
    <w:rsid w:val="00BB7E41"/>
    <w:rsid w:val="00BC10F6"/>
    <w:rsid w:val="00BC11D0"/>
    <w:rsid w:val="00BC23AD"/>
    <w:rsid w:val="00BC2B9D"/>
    <w:rsid w:val="00BC50B5"/>
    <w:rsid w:val="00BC5693"/>
    <w:rsid w:val="00BD1FB2"/>
    <w:rsid w:val="00BD3AE5"/>
    <w:rsid w:val="00BD3CCF"/>
    <w:rsid w:val="00BD429A"/>
    <w:rsid w:val="00BD4CB3"/>
    <w:rsid w:val="00BE0369"/>
    <w:rsid w:val="00BE2BB4"/>
    <w:rsid w:val="00BE4054"/>
    <w:rsid w:val="00BE5F3A"/>
    <w:rsid w:val="00BE62B2"/>
    <w:rsid w:val="00BE746C"/>
    <w:rsid w:val="00BE755F"/>
    <w:rsid w:val="00BF38E7"/>
    <w:rsid w:val="00BF5CF0"/>
    <w:rsid w:val="00BF7824"/>
    <w:rsid w:val="00C00652"/>
    <w:rsid w:val="00C027DF"/>
    <w:rsid w:val="00C0487C"/>
    <w:rsid w:val="00C04D07"/>
    <w:rsid w:val="00C06556"/>
    <w:rsid w:val="00C12588"/>
    <w:rsid w:val="00C165FA"/>
    <w:rsid w:val="00C17090"/>
    <w:rsid w:val="00C17356"/>
    <w:rsid w:val="00C21381"/>
    <w:rsid w:val="00C237E4"/>
    <w:rsid w:val="00C253F1"/>
    <w:rsid w:val="00C263F6"/>
    <w:rsid w:val="00C36C81"/>
    <w:rsid w:val="00C403A0"/>
    <w:rsid w:val="00C4289A"/>
    <w:rsid w:val="00C43EBB"/>
    <w:rsid w:val="00C44247"/>
    <w:rsid w:val="00C46B6F"/>
    <w:rsid w:val="00C4756D"/>
    <w:rsid w:val="00C4796C"/>
    <w:rsid w:val="00C47AB7"/>
    <w:rsid w:val="00C50E33"/>
    <w:rsid w:val="00C5173C"/>
    <w:rsid w:val="00C51C0D"/>
    <w:rsid w:val="00C51EE9"/>
    <w:rsid w:val="00C56B59"/>
    <w:rsid w:val="00C572B9"/>
    <w:rsid w:val="00C60174"/>
    <w:rsid w:val="00C64CF9"/>
    <w:rsid w:val="00C707F6"/>
    <w:rsid w:val="00C729B3"/>
    <w:rsid w:val="00C72C11"/>
    <w:rsid w:val="00C73203"/>
    <w:rsid w:val="00C75350"/>
    <w:rsid w:val="00C76F24"/>
    <w:rsid w:val="00C8334E"/>
    <w:rsid w:val="00C83A33"/>
    <w:rsid w:val="00C87DFC"/>
    <w:rsid w:val="00C90CB1"/>
    <w:rsid w:val="00C91F60"/>
    <w:rsid w:val="00C92541"/>
    <w:rsid w:val="00C94227"/>
    <w:rsid w:val="00C9509E"/>
    <w:rsid w:val="00C95C2C"/>
    <w:rsid w:val="00CA0AFF"/>
    <w:rsid w:val="00CA2A81"/>
    <w:rsid w:val="00CA39C7"/>
    <w:rsid w:val="00CB1795"/>
    <w:rsid w:val="00CB48BB"/>
    <w:rsid w:val="00CB5E35"/>
    <w:rsid w:val="00CC1548"/>
    <w:rsid w:val="00CC481C"/>
    <w:rsid w:val="00CC5EF9"/>
    <w:rsid w:val="00CD09CF"/>
    <w:rsid w:val="00CD7999"/>
    <w:rsid w:val="00CE084E"/>
    <w:rsid w:val="00CE2A38"/>
    <w:rsid w:val="00CE6E02"/>
    <w:rsid w:val="00CE7821"/>
    <w:rsid w:val="00CF0698"/>
    <w:rsid w:val="00CF1EB2"/>
    <w:rsid w:val="00CF2208"/>
    <w:rsid w:val="00CF28A0"/>
    <w:rsid w:val="00CF2C87"/>
    <w:rsid w:val="00D01FC9"/>
    <w:rsid w:val="00D02ED3"/>
    <w:rsid w:val="00D05550"/>
    <w:rsid w:val="00D05782"/>
    <w:rsid w:val="00D06589"/>
    <w:rsid w:val="00D070E7"/>
    <w:rsid w:val="00D13D8A"/>
    <w:rsid w:val="00D148EB"/>
    <w:rsid w:val="00D14D85"/>
    <w:rsid w:val="00D15911"/>
    <w:rsid w:val="00D16ADC"/>
    <w:rsid w:val="00D206CD"/>
    <w:rsid w:val="00D22A34"/>
    <w:rsid w:val="00D253C4"/>
    <w:rsid w:val="00D27201"/>
    <w:rsid w:val="00D27635"/>
    <w:rsid w:val="00D31AC3"/>
    <w:rsid w:val="00D3639F"/>
    <w:rsid w:val="00D41554"/>
    <w:rsid w:val="00D458B8"/>
    <w:rsid w:val="00D516D3"/>
    <w:rsid w:val="00D53D4E"/>
    <w:rsid w:val="00D60960"/>
    <w:rsid w:val="00D6311C"/>
    <w:rsid w:val="00D7040D"/>
    <w:rsid w:val="00D70DEB"/>
    <w:rsid w:val="00D738FB"/>
    <w:rsid w:val="00D7699B"/>
    <w:rsid w:val="00D76E22"/>
    <w:rsid w:val="00D76EB1"/>
    <w:rsid w:val="00D77C98"/>
    <w:rsid w:val="00D83190"/>
    <w:rsid w:val="00D86784"/>
    <w:rsid w:val="00D92080"/>
    <w:rsid w:val="00D943C0"/>
    <w:rsid w:val="00D95974"/>
    <w:rsid w:val="00D96D66"/>
    <w:rsid w:val="00DA0479"/>
    <w:rsid w:val="00DA207E"/>
    <w:rsid w:val="00DA2E2D"/>
    <w:rsid w:val="00DA6550"/>
    <w:rsid w:val="00DB046E"/>
    <w:rsid w:val="00DB3524"/>
    <w:rsid w:val="00DB480A"/>
    <w:rsid w:val="00DB5061"/>
    <w:rsid w:val="00DB525B"/>
    <w:rsid w:val="00DC3644"/>
    <w:rsid w:val="00DC7F23"/>
    <w:rsid w:val="00DD15EA"/>
    <w:rsid w:val="00DD1D30"/>
    <w:rsid w:val="00DD6EE5"/>
    <w:rsid w:val="00DD7280"/>
    <w:rsid w:val="00DD7A60"/>
    <w:rsid w:val="00DE0E1F"/>
    <w:rsid w:val="00DE13C9"/>
    <w:rsid w:val="00DE44EE"/>
    <w:rsid w:val="00DF3653"/>
    <w:rsid w:val="00DF63CC"/>
    <w:rsid w:val="00E011D9"/>
    <w:rsid w:val="00E024A6"/>
    <w:rsid w:val="00E02AC1"/>
    <w:rsid w:val="00E0754F"/>
    <w:rsid w:val="00E14A08"/>
    <w:rsid w:val="00E2089A"/>
    <w:rsid w:val="00E35228"/>
    <w:rsid w:val="00E42EFD"/>
    <w:rsid w:val="00E434DA"/>
    <w:rsid w:val="00E43D2B"/>
    <w:rsid w:val="00E50D03"/>
    <w:rsid w:val="00E52737"/>
    <w:rsid w:val="00E55270"/>
    <w:rsid w:val="00E559A1"/>
    <w:rsid w:val="00E55F97"/>
    <w:rsid w:val="00E57095"/>
    <w:rsid w:val="00E60B4C"/>
    <w:rsid w:val="00E6188D"/>
    <w:rsid w:val="00E62510"/>
    <w:rsid w:val="00E63353"/>
    <w:rsid w:val="00E64B20"/>
    <w:rsid w:val="00E66760"/>
    <w:rsid w:val="00E66DBF"/>
    <w:rsid w:val="00E677B0"/>
    <w:rsid w:val="00E7029B"/>
    <w:rsid w:val="00E7179F"/>
    <w:rsid w:val="00E71F33"/>
    <w:rsid w:val="00E72831"/>
    <w:rsid w:val="00E7438B"/>
    <w:rsid w:val="00E74F1A"/>
    <w:rsid w:val="00E779D3"/>
    <w:rsid w:val="00E82496"/>
    <w:rsid w:val="00E825A9"/>
    <w:rsid w:val="00E82C24"/>
    <w:rsid w:val="00E9185B"/>
    <w:rsid w:val="00E9332C"/>
    <w:rsid w:val="00E964DF"/>
    <w:rsid w:val="00E964FF"/>
    <w:rsid w:val="00EA1A16"/>
    <w:rsid w:val="00EA1F55"/>
    <w:rsid w:val="00EA4551"/>
    <w:rsid w:val="00EB02AD"/>
    <w:rsid w:val="00EB3889"/>
    <w:rsid w:val="00EB52C5"/>
    <w:rsid w:val="00EB5875"/>
    <w:rsid w:val="00EC1892"/>
    <w:rsid w:val="00EC3F00"/>
    <w:rsid w:val="00EC4D20"/>
    <w:rsid w:val="00EC7A3C"/>
    <w:rsid w:val="00EC7CC6"/>
    <w:rsid w:val="00ED073F"/>
    <w:rsid w:val="00ED1954"/>
    <w:rsid w:val="00ED4F79"/>
    <w:rsid w:val="00ED56E6"/>
    <w:rsid w:val="00EE44A6"/>
    <w:rsid w:val="00EF1BA9"/>
    <w:rsid w:val="00EF5F8C"/>
    <w:rsid w:val="00F0139D"/>
    <w:rsid w:val="00F02CC5"/>
    <w:rsid w:val="00F10BA7"/>
    <w:rsid w:val="00F114AE"/>
    <w:rsid w:val="00F11731"/>
    <w:rsid w:val="00F17680"/>
    <w:rsid w:val="00F22FE2"/>
    <w:rsid w:val="00F243A1"/>
    <w:rsid w:val="00F273A4"/>
    <w:rsid w:val="00F318AE"/>
    <w:rsid w:val="00F31B5F"/>
    <w:rsid w:val="00F34988"/>
    <w:rsid w:val="00F41C50"/>
    <w:rsid w:val="00F420F9"/>
    <w:rsid w:val="00F4491B"/>
    <w:rsid w:val="00F4630B"/>
    <w:rsid w:val="00F52DB8"/>
    <w:rsid w:val="00F53442"/>
    <w:rsid w:val="00F544FD"/>
    <w:rsid w:val="00F550D8"/>
    <w:rsid w:val="00F55AE0"/>
    <w:rsid w:val="00F5698A"/>
    <w:rsid w:val="00F70927"/>
    <w:rsid w:val="00F751E0"/>
    <w:rsid w:val="00F83B4A"/>
    <w:rsid w:val="00F841C5"/>
    <w:rsid w:val="00F842CD"/>
    <w:rsid w:val="00F91F42"/>
    <w:rsid w:val="00F9268E"/>
    <w:rsid w:val="00F9493F"/>
    <w:rsid w:val="00F96540"/>
    <w:rsid w:val="00FA5848"/>
    <w:rsid w:val="00FA612D"/>
    <w:rsid w:val="00FA6F4A"/>
    <w:rsid w:val="00FB02BF"/>
    <w:rsid w:val="00FB046C"/>
    <w:rsid w:val="00FB0FE0"/>
    <w:rsid w:val="00FB6903"/>
    <w:rsid w:val="00FB7E64"/>
    <w:rsid w:val="00FD10C1"/>
    <w:rsid w:val="00FD45FE"/>
    <w:rsid w:val="00FD5E0C"/>
    <w:rsid w:val="00FD753A"/>
    <w:rsid w:val="00FD7D05"/>
    <w:rsid w:val="00FE0F44"/>
    <w:rsid w:val="00FE19F6"/>
    <w:rsid w:val="00FE41BD"/>
    <w:rsid w:val="00FE52D8"/>
    <w:rsid w:val="00FE5A1C"/>
    <w:rsid w:val="00FE5FA4"/>
    <w:rsid w:val="00FE6B64"/>
    <w:rsid w:val="00FF2A78"/>
    <w:rsid w:val="00FF2E32"/>
    <w:rsid w:val="00FF660D"/>
    <w:rsid w:val="00FF684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A19C7AF-1FB4-4835-B0CC-A9FF638A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FA"/>
    <w:pPr>
      <w:jc w:val="both"/>
    </w:pPr>
    <w:rPr>
      <w:rFonts w:ascii="Barlow" w:hAnsi="Barlow"/>
      <w:sz w:val="22"/>
      <w:szCs w:val="24"/>
      <w:lang w:eastAsia="en-US"/>
    </w:rPr>
  </w:style>
  <w:style w:type="paragraph" w:styleId="Heading1">
    <w:name w:val="heading 1"/>
    <w:basedOn w:val="Normal"/>
    <w:next w:val="Normal"/>
    <w:rsid w:val="001C3212"/>
    <w:pPr>
      <w:keepNext/>
      <w:spacing w:before="240"/>
      <w:outlineLvl w:val="0"/>
    </w:pPr>
    <w:rPr>
      <w:b/>
    </w:rPr>
  </w:style>
  <w:style w:type="paragraph" w:styleId="Heading2">
    <w:name w:val="heading 2"/>
    <w:basedOn w:val="Normal"/>
    <w:next w:val="Normal"/>
    <w:rsid w:val="00250D75"/>
    <w:pPr>
      <w:keepNext/>
      <w:spacing w:before="240" w:after="60"/>
      <w:outlineLvl w:val="1"/>
    </w:pPr>
    <w:rPr>
      <w:rFonts w:cs="Arial"/>
      <w:b/>
      <w:bCs/>
      <w:i/>
      <w:iCs/>
      <w:sz w:val="28"/>
      <w:szCs w:val="28"/>
    </w:rPr>
  </w:style>
  <w:style w:type="paragraph" w:styleId="Heading3">
    <w:name w:val="heading 3"/>
    <w:basedOn w:val="Normal"/>
    <w:next w:val="Normal"/>
    <w:rsid w:val="00250D75"/>
    <w:pPr>
      <w:keepNext/>
      <w:outlineLvl w:val="2"/>
    </w:pPr>
    <w:rPr>
      <w:rFonts w:cs="Arial"/>
      <w:b/>
      <w:bCs/>
      <w:u w:val="single"/>
    </w:rPr>
  </w:style>
  <w:style w:type="paragraph" w:styleId="Heading4">
    <w:name w:val="heading 4"/>
    <w:basedOn w:val="Normal"/>
    <w:next w:val="Normal"/>
    <w:rsid w:val="00250D75"/>
    <w:pPr>
      <w:keepNext/>
      <w:outlineLvl w:val="3"/>
    </w:pPr>
    <w:rPr>
      <w:rFonts w:cs="Arial"/>
      <w:b/>
      <w:bCs/>
      <w:u w:val="single"/>
    </w:rPr>
  </w:style>
  <w:style w:type="paragraph" w:styleId="Heading5">
    <w:name w:val="heading 5"/>
    <w:basedOn w:val="Normal"/>
    <w:next w:val="Normal"/>
    <w:rsid w:val="00250D75"/>
    <w:pPr>
      <w:keepNext/>
      <w:outlineLvl w:val="4"/>
    </w:pPr>
    <w:rPr>
      <w:rFonts w:cs="Arial"/>
      <w:b/>
      <w:bCs/>
      <w:u w:val="single"/>
    </w:rPr>
  </w:style>
  <w:style w:type="paragraph" w:styleId="Heading6">
    <w:name w:val="heading 6"/>
    <w:basedOn w:val="Normal"/>
    <w:next w:val="Normal"/>
    <w:rsid w:val="00250D75"/>
    <w:pPr>
      <w:spacing w:before="240" w:after="60"/>
      <w:outlineLvl w:val="5"/>
    </w:pPr>
    <w:rPr>
      <w:b/>
      <w:bCs/>
      <w:szCs w:val="22"/>
    </w:rPr>
  </w:style>
  <w:style w:type="paragraph" w:styleId="Heading7">
    <w:name w:val="heading 7"/>
    <w:basedOn w:val="Normal"/>
    <w:next w:val="Normal"/>
    <w:rsid w:val="00250D75"/>
    <w:pPr>
      <w:keepNext/>
      <w:outlineLvl w:val="6"/>
    </w:pPr>
    <w:rPr>
      <w:rFonts w:cs="Arial"/>
      <w:b/>
      <w:bCs/>
      <w:u w:val="single"/>
    </w:rPr>
  </w:style>
  <w:style w:type="paragraph" w:styleId="Heading8">
    <w:name w:val="heading 8"/>
    <w:basedOn w:val="Normal"/>
    <w:next w:val="Normal"/>
    <w:rsid w:val="00250D75"/>
    <w:pPr>
      <w:spacing w:before="240" w:after="60"/>
      <w:outlineLvl w:val="7"/>
    </w:pPr>
    <w:rPr>
      <w:i/>
      <w:iCs/>
    </w:rPr>
  </w:style>
  <w:style w:type="paragraph" w:styleId="Heading9">
    <w:name w:val="heading 9"/>
    <w:basedOn w:val="Normal"/>
    <w:next w:val="Normal"/>
    <w:rsid w:val="00250D75"/>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75350"/>
    <w:rPr>
      <w:rFonts w:ascii="Tahoma" w:hAnsi="Tahoma" w:cs="Tahoma"/>
      <w:sz w:val="16"/>
      <w:szCs w:val="16"/>
    </w:rPr>
  </w:style>
  <w:style w:type="character" w:customStyle="1" w:styleId="BalloonTextChar">
    <w:name w:val="Balloon Text Char"/>
    <w:basedOn w:val="DefaultParagraphFont"/>
    <w:link w:val="BalloonText"/>
    <w:semiHidden/>
    <w:rsid w:val="00C75350"/>
    <w:rPr>
      <w:rFonts w:ascii="Tahoma" w:hAnsi="Tahoma" w:cs="Tahoma"/>
      <w:noProof/>
      <w:sz w:val="16"/>
      <w:szCs w:val="16"/>
      <w:lang w:eastAsia="en-US"/>
    </w:rPr>
  </w:style>
  <w:style w:type="paragraph" w:styleId="DocumentMap">
    <w:name w:val="Document Map"/>
    <w:basedOn w:val="Normal"/>
    <w:link w:val="DocumentMapChar"/>
    <w:semiHidden/>
    <w:unhideWhenUsed/>
    <w:rsid w:val="00304756"/>
    <w:rPr>
      <w:rFonts w:ascii="Tahoma" w:hAnsi="Tahoma" w:cs="Tahoma"/>
      <w:sz w:val="16"/>
      <w:szCs w:val="16"/>
    </w:rPr>
  </w:style>
  <w:style w:type="character" w:customStyle="1" w:styleId="DocumentMapChar">
    <w:name w:val="Document Map Char"/>
    <w:basedOn w:val="DefaultParagraphFont"/>
    <w:link w:val="DocumentMap"/>
    <w:semiHidden/>
    <w:rsid w:val="00304756"/>
    <w:rPr>
      <w:rFonts w:ascii="Tahoma" w:hAnsi="Tahoma" w:cs="Tahoma"/>
      <w:noProof/>
      <w:sz w:val="16"/>
      <w:szCs w:val="16"/>
      <w:lang w:eastAsia="en-US"/>
    </w:rPr>
  </w:style>
  <w:style w:type="paragraph" w:customStyle="1" w:styleId="ICHeading1">
    <w:name w:val="IC_Heading_1"/>
    <w:basedOn w:val="Normal"/>
    <w:qFormat/>
    <w:rsid w:val="00D27635"/>
    <w:pPr>
      <w:keepNext/>
      <w:spacing w:before="120" w:after="240"/>
      <w:outlineLvl w:val="2"/>
    </w:pPr>
    <w:rPr>
      <w:b/>
      <w:sz w:val="26"/>
    </w:rPr>
  </w:style>
  <w:style w:type="paragraph" w:styleId="NormalWeb">
    <w:name w:val="Normal (Web)"/>
    <w:basedOn w:val="Normal"/>
    <w:semiHidden/>
    <w:unhideWhenUsed/>
    <w:rsid w:val="00E74F1A"/>
    <w:rPr>
      <w:rFonts w:ascii="Times New Roman" w:hAnsi="Times New Roman"/>
    </w:rPr>
  </w:style>
  <w:style w:type="paragraph" w:customStyle="1" w:styleId="ICRecNum1">
    <w:name w:val="IC RecNum 1"/>
    <w:basedOn w:val="Normal"/>
    <w:qFormat/>
    <w:rsid w:val="00095326"/>
    <w:pPr>
      <w:numPr>
        <w:numId w:val="1"/>
      </w:numPr>
      <w:spacing w:after="240"/>
    </w:pPr>
    <w:rPr>
      <w:rFonts w:eastAsiaTheme="minorHAnsi" w:cstheme="minorBidi"/>
      <w:szCs w:val="22"/>
    </w:rPr>
  </w:style>
  <w:style w:type="paragraph" w:customStyle="1" w:styleId="ICRecNum2">
    <w:name w:val="IC RecNum 2"/>
    <w:basedOn w:val="Normal"/>
    <w:rsid w:val="00095326"/>
    <w:pPr>
      <w:numPr>
        <w:ilvl w:val="1"/>
        <w:numId w:val="1"/>
      </w:numPr>
      <w:spacing w:after="240"/>
    </w:pPr>
    <w:rPr>
      <w:rFonts w:eastAsiaTheme="minorHAnsi" w:cstheme="minorBidi"/>
      <w:szCs w:val="22"/>
    </w:rPr>
  </w:style>
  <w:style w:type="numbering" w:customStyle="1" w:styleId="ICRecommendationList">
    <w:name w:val="IC RecommendationList"/>
    <w:uiPriority w:val="99"/>
    <w:rsid w:val="000B280E"/>
    <w:pPr>
      <w:numPr>
        <w:numId w:val="1"/>
      </w:numPr>
    </w:pPr>
  </w:style>
  <w:style w:type="paragraph" w:customStyle="1" w:styleId="ICHeading2">
    <w:name w:val="IC_Heading_2"/>
    <w:basedOn w:val="Normal"/>
    <w:qFormat/>
    <w:rsid w:val="008E0010"/>
    <w:pPr>
      <w:keepNext/>
      <w:outlineLvl w:val="3"/>
    </w:pPr>
    <w:rPr>
      <w:rFonts w:ascii="Arial Bold" w:hAnsi="Arial Bold"/>
      <w:b/>
    </w:rPr>
  </w:style>
  <w:style w:type="paragraph" w:styleId="Header">
    <w:name w:val="header"/>
    <w:basedOn w:val="Normal"/>
    <w:link w:val="HeaderChar"/>
    <w:unhideWhenUsed/>
    <w:rsid w:val="00B3793F"/>
    <w:pPr>
      <w:tabs>
        <w:tab w:val="center" w:pos="4680"/>
        <w:tab w:val="right" w:pos="9360"/>
      </w:tabs>
    </w:pPr>
  </w:style>
  <w:style w:type="character" w:customStyle="1" w:styleId="HeaderChar">
    <w:name w:val="Header Char"/>
    <w:basedOn w:val="DefaultParagraphFont"/>
    <w:link w:val="Header"/>
    <w:rsid w:val="00B3793F"/>
    <w:rPr>
      <w:rFonts w:ascii="Arial" w:hAnsi="Arial"/>
      <w:sz w:val="22"/>
      <w:szCs w:val="24"/>
      <w:lang w:eastAsia="en-US"/>
    </w:rPr>
  </w:style>
  <w:style w:type="paragraph" w:customStyle="1" w:styleId="ICTOC2">
    <w:name w:val="IC_TOC_2"/>
    <w:basedOn w:val="Normal"/>
    <w:link w:val="ICTOC2Char"/>
    <w:rsid w:val="00670811"/>
    <w:pPr>
      <w:keepNext/>
      <w:tabs>
        <w:tab w:val="left" w:pos="851"/>
      </w:tabs>
      <w:spacing w:after="240"/>
      <w:ind w:left="737" w:hanging="737"/>
      <w:outlineLvl w:val="1"/>
    </w:pPr>
    <w:rPr>
      <w:rFonts w:cs="Arial"/>
      <w:b/>
      <w:sz w:val="26"/>
      <w:szCs w:val="26"/>
    </w:rPr>
  </w:style>
  <w:style w:type="character" w:customStyle="1" w:styleId="ICTOC2Char">
    <w:name w:val="IC_TOC_2 Char"/>
    <w:link w:val="ICTOC2"/>
    <w:rsid w:val="00670811"/>
    <w:rPr>
      <w:rFonts w:ascii="Arial" w:hAnsi="Arial" w:cs="Arial"/>
      <w:b/>
      <w:sz w:val="26"/>
      <w:szCs w:val="26"/>
      <w:lang w:eastAsia="en-US"/>
    </w:rPr>
  </w:style>
  <w:style w:type="paragraph" w:styleId="ListParagraph">
    <w:name w:val="List Paragraph"/>
    <w:basedOn w:val="Normal"/>
    <w:uiPriority w:val="34"/>
    <w:rsid w:val="00AB5652"/>
    <w:pPr>
      <w:contextualSpacing/>
    </w:pPr>
  </w:style>
  <w:style w:type="paragraph" w:customStyle="1" w:styleId="ICTOC3">
    <w:name w:val="IC_TOC_3"/>
    <w:basedOn w:val="Normal"/>
    <w:next w:val="ICTOC2"/>
    <w:rsid w:val="00CB48BB"/>
    <w:pPr>
      <w:tabs>
        <w:tab w:val="left" w:pos="1701"/>
      </w:tabs>
      <w:spacing w:before="120"/>
      <w:ind w:left="2551" w:hanging="1701"/>
    </w:pPr>
    <w:rPr>
      <w:rFonts w:cs="Arial"/>
    </w:rPr>
  </w:style>
  <w:style w:type="paragraph" w:customStyle="1" w:styleId="ICATT">
    <w:name w:val="IC_ATT"/>
    <w:rsid w:val="00D83190"/>
    <w:pPr>
      <w:tabs>
        <w:tab w:val="left" w:pos="1701"/>
      </w:tabs>
      <w:spacing w:before="60"/>
      <w:ind w:left="1702" w:hanging="851"/>
    </w:pPr>
    <w:rPr>
      <w:rFonts w:ascii="Arial" w:hAnsi="Arial" w:cs="Arial"/>
      <w:sz w:val="22"/>
      <w:szCs w:val="24"/>
      <w:lang w:eastAsia="en-US"/>
    </w:rPr>
  </w:style>
  <w:style w:type="paragraph" w:styleId="TOC1">
    <w:name w:val="toc 1"/>
    <w:basedOn w:val="Normal"/>
    <w:next w:val="Normal"/>
    <w:autoRedefine/>
    <w:uiPriority w:val="39"/>
    <w:semiHidden/>
    <w:unhideWhenUsed/>
    <w:qFormat/>
    <w:rsid w:val="00645D40"/>
    <w:pPr>
      <w:spacing w:after="100"/>
    </w:pPr>
  </w:style>
  <w:style w:type="paragraph" w:styleId="TOC2">
    <w:name w:val="toc 2"/>
    <w:basedOn w:val="Normal"/>
    <w:next w:val="Normal"/>
    <w:autoRedefine/>
    <w:semiHidden/>
    <w:unhideWhenUsed/>
    <w:rsid w:val="00645D40"/>
    <w:pPr>
      <w:spacing w:after="100"/>
      <w:ind w:left="220"/>
    </w:pPr>
  </w:style>
  <w:style w:type="paragraph" w:styleId="TOC3">
    <w:name w:val="toc 3"/>
    <w:basedOn w:val="Normal"/>
    <w:next w:val="Normal"/>
    <w:autoRedefine/>
    <w:semiHidden/>
    <w:unhideWhenUsed/>
    <w:rsid w:val="00645D40"/>
    <w:pPr>
      <w:spacing w:after="100"/>
      <w:ind w:left="440"/>
    </w:pPr>
  </w:style>
  <w:style w:type="paragraph" w:styleId="TOC4">
    <w:name w:val="toc 4"/>
    <w:basedOn w:val="Normal"/>
    <w:next w:val="Normal"/>
    <w:autoRedefine/>
    <w:semiHidden/>
    <w:unhideWhenUsed/>
    <w:rsid w:val="00645D40"/>
    <w:pPr>
      <w:spacing w:after="100"/>
      <w:ind w:left="660"/>
    </w:pPr>
  </w:style>
  <w:style w:type="paragraph" w:styleId="Footer">
    <w:name w:val="footer"/>
    <w:basedOn w:val="Normal"/>
    <w:link w:val="FooterChar"/>
    <w:uiPriority w:val="99"/>
    <w:unhideWhenUsed/>
    <w:rsid w:val="00A54173"/>
    <w:pPr>
      <w:tabs>
        <w:tab w:val="center" w:pos="4513"/>
        <w:tab w:val="right" w:pos="9026"/>
      </w:tabs>
    </w:pPr>
  </w:style>
  <w:style w:type="character" w:customStyle="1" w:styleId="FooterChar">
    <w:name w:val="Footer Char"/>
    <w:basedOn w:val="DefaultParagraphFont"/>
    <w:link w:val="Footer"/>
    <w:uiPriority w:val="99"/>
    <w:rsid w:val="00A54173"/>
    <w:rPr>
      <w:rFonts w:ascii="Arial" w:hAnsi="Arial"/>
      <w:sz w:val="22"/>
      <w:szCs w:val="24"/>
      <w:lang w:eastAsia="en-US"/>
    </w:rPr>
  </w:style>
  <w:style w:type="character" w:styleId="PlaceholderText">
    <w:name w:val="Placeholder Text"/>
    <w:basedOn w:val="DefaultParagraphFont"/>
    <w:uiPriority w:val="99"/>
    <w:semiHidden/>
    <w:rsid w:val="00433221"/>
    <w:rPr>
      <w:color w:val="808080"/>
    </w:rPr>
  </w:style>
  <w:style w:type="table" w:customStyle="1" w:styleId="TableGrid1">
    <w:name w:val="Table Grid1"/>
    <w:basedOn w:val="TableNormal"/>
    <w:next w:val="TableGrid"/>
    <w:uiPriority w:val="39"/>
    <w:rsid w:val="00263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566"/>
    <w:pPr>
      <w:autoSpaceDE w:val="0"/>
      <w:autoSpaceDN w:val="0"/>
      <w:adjustRightInd w:val="0"/>
    </w:pPr>
    <w:rPr>
      <w:rFonts w:ascii="Barlow" w:hAnsi="Barlow" w:cs="Barl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79018">
      <w:bodyDiv w:val="1"/>
      <w:marLeft w:val="0"/>
      <w:marRight w:val="0"/>
      <w:marTop w:val="0"/>
      <w:marBottom w:val="0"/>
      <w:divBdr>
        <w:top w:val="none" w:sz="0" w:space="0" w:color="auto"/>
        <w:left w:val="none" w:sz="0" w:space="0" w:color="auto"/>
        <w:bottom w:val="none" w:sz="0" w:space="0" w:color="auto"/>
        <w:right w:val="none" w:sz="0" w:space="0" w:color="auto"/>
      </w:divBdr>
    </w:div>
    <w:div w:id="12633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F5FA1C3-4C25-43B3-95A2-1AEB631FDB76}"/>
      </w:docPartPr>
      <w:docPartBody>
        <w:p w:rsidR="00191718" w:rsidRDefault="00C32AF0">
          <w:r w:rsidRPr="0070673F">
            <w:rPr>
              <w:rStyle w:val="PlaceholderText"/>
            </w:rPr>
            <w:t>Click or tap here to enter text.</w:t>
          </w:r>
        </w:p>
      </w:docPartBody>
    </w:docPart>
    <w:docPart>
      <w:docPartPr>
        <w:name w:val="AAB17BF07FF54994A1317320617E5DF6"/>
        <w:category>
          <w:name w:val="General"/>
          <w:gallery w:val="placeholder"/>
        </w:category>
        <w:types>
          <w:type w:val="bbPlcHdr"/>
        </w:types>
        <w:behaviors>
          <w:behavior w:val="content"/>
        </w:behaviors>
        <w:guid w:val="{3FDDA5E2-868E-4A56-B98F-9714D0394210}"/>
      </w:docPartPr>
      <w:docPartBody>
        <w:p w:rsidR="00F3051B" w:rsidRDefault="00F3051B"/>
      </w:docPartBody>
    </w:docPart>
    <w:docPart>
      <w:docPartPr>
        <w:name w:val="445B72EFB0B942F4A6B42CA242166047"/>
        <w:category>
          <w:name w:val="General"/>
          <w:gallery w:val="placeholder"/>
        </w:category>
        <w:types>
          <w:type w:val="bbPlcHdr"/>
        </w:types>
        <w:behaviors>
          <w:behavior w:val="content"/>
        </w:behaviors>
        <w:guid w:val="{40C4B24F-F43C-49C5-A0B4-D38C1A8160D4}"/>
      </w:docPartPr>
      <w:docPartBody>
        <w:p w:rsidR="00F3051B" w:rsidRDefault="00F30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F0"/>
    <w:rsid w:val="00191718"/>
    <w:rsid w:val="0059217F"/>
    <w:rsid w:val="0071635C"/>
    <w:rsid w:val="00BA631D"/>
    <w:rsid w:val="00C32AF0"/>
    <w:rsid w:val="00D4346C"/>
    <w:rsid w:val="00DC1308"/>
    <w:rsid w:val="00F3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3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A18A-9039-4AC4-99D6-7A90342D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Local Planning Panel - Wednesday, 24 May 2023</vt:lpstr>
    </vt:vector>
  </TitlesOfParts>
  <Company>Campbelltown</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Planning Panel - Wednesday, 24 May 2023</dc:title>
  <dc:subject>Planning Proposal -  Amendment of Clause 4.4 'Floor Space Ratio' - Campbelltown Local Environment Plan 2015</dc:subject>
  <dc:creator>Jeff Burton</dc:creator>
  <cp:keywords>Planning Proposal -  Amendment of Clause 4.4 'Floor Space Ratio' - Campbelltown Local Environment Plan 2015</cp:keywords>
  <cp:lastModifiedBy>Jeff Burton</cp:lastModifiedBy>
  <cp:revision>3</cp:revision>
  <cp:lastPrinted>2023-05-02T06:02:00Z</cp:lastPrinted>
  <dcterms:created xsi:type="dcterms:W3CDTF">2023-05-07T23:32:00Z</dcterms:created>
  <dcterms:modified xsi:type="dcterms:W3CDTF">2023-05-07T23:32:00Z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1.25</vt:lpwstr>
  </property>
  <property fmtid="{D5CDD505-2E9C-101B-9397-08002B2CF9AE}" pid="10" name="DocumentChanged">
    <vt:lpwstr>False</vt:lpwstr>
  </property>
  <property fmtid="{D5CDD505-2E9C-101B-9397-08002B2CF9AE}" pid="11" name="DoNotCheckIn">
    <vt:lpwstr>0</vt:lpwstr>
  </property>
  <property fmtid="{D5CDD505-2E9C-101B-9397-08002B2CF9AE}" pid="12" name="PreventEDMSFormFromDisplaying">
    <vt:lpwstr>False</vt:lpwstr>
  </property>
  <property fmtid="{D5CDD505-2E9C-101B-9397-08002B2CF9AE}" pid="13" name="HoldAttachment">
    <vt:lpwstr>[Title]ý0ýýýý[File]ýFalseýFalseýFalseý0ý[File]ý0ýFalseý0ýFalseýýýýTrueýTrueýTrueýTrue</vt:lpwstr>
  </property>
  <property fmtid="{D5CDD505-2E9C-101B-9397-08002B2CF9AE}" pid="14" name="InfocouncilVersion">
    <vt:lpwstr>8.4.2</vt:lpwstr>
  </property>
  <property fmtid="{D5CDD505-2E9C-101B-9397-08002B2CF9AE}" pid="15" name="UpdateDatabase">
    <vt:lpwstr>False</vt:lpwstr>
  </property>
  <property fmtid="{D5CDD505-2E9C-101B-9397-08002B2CF9AE}" pid="16" name="CorroId">
    <vt:lpwstr>14329</vt:lpwstr>
  </property>
  <property fmtid="{D5CDD505-2E9C-101B-9397-08002B2CF9AE}" pid="17" name="SequenceNumber">
    <vt:lpwstr> </vt:lpwstr>
  </property>
  <property fmtid="{D5CDD505-2E9C-101B-9397-08002B2CF9AE}" pid="18" name="MasterSequenceNumber">
    <vt:lpwstr> </vt:lpwstr>
  </property>
  <property fmtid="{D5CDD505-2E9C-101B-9397-08002B2CF9AE}" pid="19" name="FileName">
    <vt:lpwstr>LPP20230524_624_2696_1.DOCX</vt:lpwstr>
  </property>
  <property fmtid="{D5CDD505-2E9C-101B-9397-08002B2CF9AE}" pid="20" name="FileRevisionNotRetained">
    <vt:lpwstr>False</vt:lpwstr>
  </property>
  <property fmtid="{D5CDD505-2E9C-101B-9397-08002B2CF9AE}" pid="21" name="ItemNumberMasked">
    <vt:lpwstr>0.0</vt:lpwstr>
  </property>
  <property fmtid="{D5CDD505-2E9C-101B-9397-08002B2CF9AE}" pid="22" name="ConfidentialType">
    <vt:lpwstr>P</vt:lpwstr>
  </property>
  <property fmtid="{D5CDD505-2E9C-101B-9397-08002B2CF9AE}" pid="23" name="CommitteeMeetingTypeId">
    <vt:lpwstr>7</vt:lpwstr>
  </property>
  <property fmtid="{D5CDD505-2E9C-101B-9397-08002B2CF9AE}" pid="24" name="Committee">
    <vt:lpwstr>Local Planning Panel</vt:lpwstr>
  </property>
  <property fmtid="{D5CDD505-2E9C-101B-9397-08002B2CF9AE}" pid="25" name="PreviousItemsArray">
    <vt:lpwstr> </vt:lpwstr>
  </property>
  <property fmtid="{D5CDD505-2E9C-101B-9397-08002B2CF9AE}" pid="26" name="PreviousItemsChanged">
    <vt:lpwstr>False</vt:lpwstr>
  </property>
  <property fmtid="{D5CDD505-2E9C-101B-9397-08002B2CF9AE}" pid="27" name="AuthorsArray">
    <vt:lpwstr>504þ</vt:lpwstr>
  </property>
  <property fmtid="{D5CDD505-2E9C-101B-9397-08002B2CF9AE}" pid="28" name="AuthorID">
    <vt:lpwstr>504</vt:lpwstr>
  </property>
  <property fmtid="{D5CDD505-2E9C-101B-9397-08002B2CF9AE}" pid="29" name="Author">
    <vt:lpwstr>Jeff Burton</vt:lpwstr>
  </property>
  <property fmtid="{D5CDD505-2E9C-101B-9397-08002B2CF9AE}" pid="30" name="AuthorTitle">
    <vt:lpwstr>Senior Strategic Environmental Planner</vt:lpwstr>
  </property>
  <property fmtid="{D5CDD505-2E9C-101B-9397-08002B2CF9AE}" pid="31" name="AuthorPhone">
    <vt:lpwstr> </vt:lpwstr>
  </property>
  <property fmtid="{D5CDD505-2E9C-101B-9397-08002B2CF9AE}" pid="32" name="Authors">
    <vt:lpwstr>Jeff Burton</vt:lpwstr>
  </property>
  <property fmtid="{D5CDD505-2E9C-101B-9397-08002B2CF9AE}" pid="33" name="AuthorID2">
    <vt:lpwstr> </vt:lpwstr>
  </property>
  <property fmtid="{D5CDD505-2E9C-101B-9397-08002B2CF9AE}" pid="34" name="Author2">
    <vt:lpwstr> </vt:lpwstr>
  </property>
  <property fmtid="{D5CDD505-2E9C-101B-9397-08002B2CF9AE}" pid="35" name="AuthorTitle2">
    <vt:lpwstr> </vt:lpwstr>
  </property>
  <property fmtid="{D5CDD505-2E9C-101B-9397-08002B2CF9AE}" pid="36" name="AuthorID3">
    <vt:lpwstr> </vt:lpwstr>
  </property>
  <property fmtid="{D5CDD505-2E9C-101B-9397-08002B2CF9AE}" pid="37" name="Author3">
    <vt:lpwstr> </vt:lpwstr>
  </property>
  <property fmtid="{D5CDD505-2E9C-101B-9397-08002B2CF9AE}" pid="38" name="AuthorTitle3">
    <vt:lpwstr> </vt:lpwstr>
  </property>
  <property fmtid="{D5CDD505-2E9C-101B-9397-08002B2CF9AE}" pid="39" name="OldPresentations">
    <vt:lpwstr> </vt:lpwstr>
  </property>
  <property fmtid="{D5CDD505-2E9C-101B-9397-08002B2CF9AE}" pid="40" name="PresentationsArray">
    <vt:lpwstr> </vt:lpwstr>
  </property>
  <property fmtid="{D5CDD505-2E9C-101B-9397-08002B2CF9AE}" pid="41" name="PresentationChanged">
    <vt:lpwstr>False</vt:lpwstr>
  </property>
  <property fmtid="{D5CDD505-2E9C-101B-9397-08002B2CF9AE}" pid="42" name="PresentationRequired">
    <vt:lpwstr>0</vt:lpwstr>
  </property>
  <property fmtid="{D5CDD505-2E9C-101B-9397-08002B2CF9AE}" pid="43" name="OldChairmansCommitteeArray">
    <vt:lpwstr> </vt:lpwstr>
  </property>
  <property fmtid="{D5CDD505-2E9C-101B-9397-08002B2CF9AE}" pid="44" name="ChairmansCommitteeArray">
    <vt:lpwstr> </vt:lpwstr>
  </property>
  <property fmtid="{D5CDD505-2E9C-101B-9397-08002B2CF9AE}" pid="45" name="ApproversArray">
    <vt:lpwstr>515þ624þ451þ</vt:lpwstr>
  </property>
  <property fmtid="{D5CDD505-2E9C-101B-9397-08002B2CF9AE}" pid="46" name="Officers">
    <vt:lpwstr>Rad Blagojevic; David Smith; Megan Harrison</vt:lpwstr>
  </property>
  <property fmtid="{D5CDD505-2E9C-101B-9397-08002B2CF9AE}" pid="47" name="OfficersArray">
    <vt:lpwstr>Rad BlagojevicýCity Planning and EnvironmentþDavid SmithýCity Planning and EnvironmentþMegan HarrisonýCity Planning and Environmentþ</vt:lpwstr>
  </property>
  <property fmtid="{D5CDD505-2E9C-101B-9397-08002B2CF9AE}" pid="48" name="CurrentReferencesArray">
    <vt:lpwstr> </vt:lpwstr>
  </property>
  <property fmtid="{D5CDD505-2E9C-101B-9397-08002B2CF9AE}" pid="49" name="MasterProgramItemsArray">
    <vt:lpwstr>4318þ4321þ</vt:lpwstr>
  </property>
  <property fmtid="{D5CDD505-2E9C-101B-9397-08002B2CF9AE}" pid="50" name="MasterProgramItemID">
    <vt:lpwstr>4321</vt:lpwstr>
  </property>
  <property fmtid="{D5CDD505-2E9C-101B-9397-08002B2CF9AE}" pid="51" name="MasterProgramItem1">
    <vt:lpwstr>4 Economic Prosperity</vt:lpwstr>
  </property>
  <property fmtid="{D5CDD505-2E9C-101B-9397-08002B2CF9AE}" pid="52" name="MasterProgramItem2">
    <vt:lpwstr>4.2.1 Support the growth, productivity and diversity of the local economy</vt:lpwstr>
  </property>
  <property fmtid="{D5CDD505-2E9C-101B-9397-08002B2CF9AE}" pid="53" name="ReferenceTypeItemsArray">
    <vt:lpwstr>4321þ4344</vt:lpwstr>
  </property>
  <property fmtid="{D5CDD505-2E9C-101B-9397-08002B2CF9AE}" pid="54" name="RequestorsArray">
    <vt:lpwstr> </vt:lpwstr>
  </property>
  <property fmtid="{D5CDD505-2E9C-101B-9397-08002B2CF9AE}" pid="55" name="CommitteeId">
    <vt:lpwstr>12</vt:lpwstr>
  </property>
  <property fmtid="{D5CDD505-2E9C-101B-9397-08002B2CF9AE}" pid="56" name="CommitteeName">
    <vt:lpwstr>Local Planning Panel Meeting</vt:lpwstr>
  </property>
  <property fmtid="{D5CDD505-2E9C-101B-9397-08002B2CF9AE}" pid="57" name="CommitteeAbbreviation">
    <vt:lpwstr>LPP</vt:lpwstr>
  </property>
  <property fmtid="{D5CDD505-2E9C-101B-9397-08002B2CF9AE}" pid="58" name="CommitteeEmailAddress">
    <vt:lpwstr> </vt:lpwstr>
  </property>
  <property fmtid="{D5CDD505-2E9C-101B-9397-08002B2CF9AE}" pid="59" name="CommitteeQuorum">
    <vt:lpwstr> </vt:lpwstr>
  </property>
  <property fmtid="{D5CDD505-2E9C-101B-9397-08002B2CF9AE}" pid="60" name="CommitteeReportId">
    <vt:lpwstr>0</vt:lpwstr>
  </property>
  <property fmtid="{D5CDD505-2E9C-101B-9397-08002B2CF9AE}" pid="61" name="DateMeeting">
    <vt:lpwstr>24 May 2023</vt:lpwstr>
  </property>
  <property fmtid="{D5CDD505-2E9C-101B-9397-08002B2CF9AE}" pid="62" name="DateMeetingDisplay">
    <vt:lpwstr>24 May 2023</vt:lpwstr>
  </property>
  <property fmtid="{D5CDD505-2E9C-101B-9397-08002B2CF9AE}" pid="63" name="TimeMeeting">
    <vt:lpwstr>3.00pm</vt:lpwstr>
  </property>
  <property fmtid="{D5CDD505-2E9C-101B-9397-08002B2CF9AE}" pid="64" name="DateMeetingId">
    <vt:lpwstr>2696</vt:lpwstr>
  </property>
  <property fmtid="{D5CDD505-2E9C-101B-9397-08002B2CF9AE}" pid="65" name="MeetingScheduleId">
    <vt:lpwstr>2696</vt:lpwstr>
  </property>
  <property fmtid="{D5CDD505-2E9C-101B-9397-08002B2CF9AE}" pid="66" name="SpecialFlag">
    <vt:lpwstr>False</vt:lpwstr>
  </property>
  <property fmtid="{D5CDD505-2E9C-101B-9397-08002B2CF9AE}" pid="67" name="DivisionId">
    <vt:lpwstr>4</vt:lpwstr>
  </property>
  <property fmtid="{D5CDD505-2E9C-101B-9397-08002B2CF9AE}" pid="68" name="DivisionHeadName">
    <vt:lpwstr>Jim Baldwin</vt:lpwstr>
  </property>
  <property fmtid="{D5CDD505-2E9C-101B-9397-08002B2CF9AE}" pid="69" name="DivisionName">
    <vt:lpwstr>City Planning and Environment</vt:lpwstr>
  </property>
  <property fmtid="{D5CDD505-2E9C-101B-9397-08002B2CF9AE}" pid="70" name="Date">
    <vt:lpwstr>17 April 2023</vt:lpwstr>
  </property>
  <property fmtid="{D5CDD505-2E9C-101B-9397-08002B2CF9AE}" pid="71" name="DateModified">
    <vt:lpwstr>02 May 2023</vt:lpwstr>
  </property>
  <property fmtid="{D5CDD505-2E9C-101B-9397-08002B2CF9AE}" pid="72" name="AgendaItemAbbreviation">
    <vt:lpwstr>IHAP</vt:lpwstr>
  </property>
  <property fmtid="{D5CDD505-2E9C-101B-9397-08002B2CF9AE}" pid="73" name="AgendaItemsID">
    <vt:lpwstr>23</vt:lpwstr>
  </property>
  <property fmtid="{D5CDD505-2E9C-101B-9397-08002B2CF9AE}" pid="74" name="AgendaItem">
    <vt:lpwstr>Local Planning Panel Report</vt:lpwstr>
  </property>
  <property fmtid="{D5CDD505-2E9C-101B-9397-08002B2CF9AE}" pid="75" name="AgendaSectionsID">
    <vt:lpwstr>6</vt:lpwstr>
  </property>
  <property fmtid="{D5CDD505-2E9C-101B-9397-08002B2CF9AE}" pid="76" name="AgendaSection">
    <vt:lpwstr>Reports</vt:lpwstr>
  </property>
  <property fmtid="{D5CDD505-2E9C-101B-9397-08002B2CF9AE}" pid="77" name="ActualAgendaSectionsId">
    <vt:lpwstr>6</vt:lpwstr>
  </property>
  <property fmtid="{D5CDD505-2E9C-101B-9397-08002B2CF9AE}" pid="78" name="ActualAgendaSection">
    <vt:lpwstr>Reports</vt:lpwstr>
  </property>
  <property fmtid="{D5CDD505-2E9C-101B-9397-08002B2CF9AE}" pid="79" name="Year">
    <vt:lpwstr>2023</vt:lpwstr>
  </property>
  <property fmtid="{D5CDD505-2E9C-101B-9397-08002B2CF9AE}" pid="80" name="ReassignFileName">
    <vt:lpwstr>False</vt:lpwstr>
  </property>
  <property fmtid="{D5CDD505-2E9C-101B-9397-08002B2CF9AE}" pid="81" name="ItemNumberMaskIdentifier">
    <vt:lpwstr> </vt:lpwstr>
  </property>
  <property fmtid="{D5CDD505-2E9C-101B-9397-08002B2CF9AE}" pid="82" name="Subject">
    <vt:lpwstr>Planning Proposal -  Amendment of Clause 4.4 'Floor Space Ratio' - Campbelltown Local Environment Plan 2015</vt:lpwstr>
  </property>
  <property fmtid="{D5CDD505-2E9C-101B-9397-08002B2CF9AE}" pid="83" name="SubjectWithSoftReturns">
    <vt:lpwstr>Planning Proposal -  Amendment of Clause 4.4 'Floor Space Ratio' - Campbelltown Local Environment Plan 2015</vt:lpwstr>
  </property>
  <property fmtid="{D5CDD505-2E9C-101B-9397-08002B2CF9AE}" pid="84" name="FileNumber">
    <vt:lpwstr> </vt:lpwstr>
  </property>
  <property fmtid="{D5CDD505-2E9C-101B-9397-08002B2CF9AE}" pid="85" name="EDRMSAlternateFolderIds">
    <vt:lpwstr> </vt:lpwstr>
  </property>
  <property fmtid="{D5CDD505-2E9C-101B-9397-08002B2CF9AE}" pid="86" name="EDRMSDestinationFolderId">
    <vt:lpwstr> </vt:lpwstr>
  </property>
  <property fmtid="{D5CDD505-2E9C-101B-9397-08002B2CF9AE}" pid="87" name="ReportNumber">
    <vt:lpwstr> </vt:lpwstr>
  </property>
  <property fmtid="{D5CDD505-2E9C-101B-9397-08002B2CF9AE}" pid="88" name="ReportTo">
    <vt:lpwstr>General Manager</vt:lpwstr>
  </property>
  <property fmtid="{D5CDD505-2E9C-101B-9397-08002B2CF9AE}" pid="89" name="ReportFrom">
    <vt:lpwstr>Coordinator Urban Development</vt:lpwstr>
  </property>
  <property fmtid="{D5CDD505-2E9C-101B-9397-08002B2CF9AE}" pid="90" name="Supplementary">
    <vt:lpwstr>False</vt:lpwstr>
  </property>
  <property fmtid="{D5CDD505-2E9C-101B-9397-08002B2CF9AE}" pid="91" name="Title">
    <vt:lpwstr>General Manager - Wednesday, 24 May 2023</vt:lpwstr>
  </property>
  <property fmtid="{D5CDD505-2E9C-101B-9397-08002B2CF9AE}" pid="92" name="EDMSContainerID">
    <vt:lpwstr> </vt:lpwstr>
  </property>
  <property fmtid="{D5CDD505-2E9C-101B-9397-08002B2CF9AE}" pid="93" name="Utility">
    <vt:lpwstr> </vt:lpwstr>
  </property>
  <property fmtid="{D5CDD505-2E9C-101B-9397-08002B2CF9AE}" pid="94" name="UtilityCheckbox">
    <vt:lpwstr>False</vt:lpwstr>
  </property>
  <property fmtid="{D5CDD505-2E9C-101B-9397-08002B2CF9AE}" pid="95" name="AbsoluteMajority">
    <vt:lpwstr>Simple Majority</vt:lpwstr>
  </property>
  <property fmtid="{D5CDD505-2E9C-101B-9397-08002B2CF9AE}" pid="96" name="UtilityCheckbox2">
    <vt:lpwstr>False</vt:lpwstr>
  </property>
  <property fmtid="{D5CDD505-2E9C-101B-9397-08002B2CF9AE}" pid="97" name="Approved">
    <vt:lpwstr>False</vt:lpwstr>
  </property>
  <property fmtid="{D5CDD505-2E9C-101B-9397-08002B2CF9AE}" pid="98" name="FilePath">
    <vt:lpwstr>\\prod-cc-info\Infocouncil\Documents\Local Planning Panel\Reports</vt:lpwstr>
  </property>
  <property fmtid="{D5CDD505-2E9C-101B-9397-08002B2CF9AE}" pid="99" name="RegisterNumber">
    <vt:lpwstr>1</vt:lpwstr>
  </property>
  <property fmtid="{D5CDD505-2E9C-101B-9397-08002B2CF9AE}" pid="100" name="RefCommittee">
    <vt:lpwstr> </vt:lpwstr>
  </property>
  <property fmtid="{D5CDD505-2E9C-101B-9397-08002B2CF9AE}" pid="101" name="RefCommitteeId">
    <vt:lpwstr>0</vt:lpwstr>
  </property>
  <property fmtid="{D5CDD505-2E9C-101B-9397-08002B2CF9AE}" pid="102" name="RefDateMeeting">
    <vt:lpwstr> </vt:lpwstr>
  </property>
  <property fmtid="{D5CDD505-2E9C-101B-9397-08002B2CF9AE}" pid="103" name="RefCommitteeDateId">
    <vt:lpwstr>0</vt:lpwstr>
  </property>
  <property fmtid="{D5CDD505-2E9C-101B-9397-08002B2CF9AE}" pid="104" name="RefSpecialFlag">
    <vt:lpwstr>False</vt:lpwstr>
  </property>
  <property fmtid="{D5CDD505-2E9C-101B-9397-08002B2CF9AE}" pid="105" name="RefCommitteeMinutesDocument">
    <vt:lpwstr> </vt:lpwstr>
  </property>
  <property fmtid="{D5CDD505-2E9C-101B-9397-08002B2CF9AE}" pid="106" name="RefCommitteeMinutesEDMSNo">
    <vt:lpwstr> </vt:lpwstr>
  </property>
  <property fmtid="{D5CDD505-2E9C-101B-9397-08002B2CF9AE}" pid="107" name="ReferredFromCommitteeID">
    <vt:lpwstr>0</vt:lpwstr>
  </property>
  <property fmtid="{D5CDD505-2E9C-101B-9397-08002B2CF9AE}" pid="108" name="DeferredFromDate">
    <vt:lpwstr> </vt:lpwstr>
  </property>
  <property fmtid="{D5CDD505-2E9C-101B-9397-08002B2CF9AE}" pid="109" name="DeferredFromSpecialFlag">
    <vt:lpwstr>False</vt:lpwstr>
  </property>
  <property fmtid="{D5CDD505-2E9C-101B-9397-08002B2CF9AE}" pid="110" name="DeferredFromMeetingId">
    <vt:lpwstr>0</vt:lpwstr>
  </property>
  <property fmtid="{D5CDD505-2E9C-101B-9397-08002B2CF9AE}" pid="111" name="AttachmentsArray">
    <vt:lpwstr>Proposed Floor Space Ratioý0ýýýýýFalseýFalseýFalseý1ý\\prod-cc-info\Infocouncil\Attachments\2696\14329\Proposed Amendment Floor Space Ratio.pdfý0ýFalseý16650ýFalseýýýýTrueýTrueýTrueýTrueýProposed Amendment Floor Space Ratio.pdfý0ý1753-Jan-01 12:00:00</vt:lpwstr>
  </property>
  <property fmtid="{D5CDD505-2E9C-101B-9397-08002B2CF9AE}" pid="112" name="AttachmentCount">
    <vt:lpwstr>1</vt:lpwstr>
  </property>
  <property fmtid="{D5CDD505-2E9C-101B-9397-08002B2CF9AE}" pid="113" name="AttachmentsChanged">
    <vt:lpwstr>False</vt:lpwstr>
  </property>
  <property fmtid="{D5CDD505-2E9C-101B-9397-08002B2CF9AE}" pid="114" name="AttachmentPages">
    <vt:lpwstr>0</vt:lpwstr>
  </property>
  <property fmtid="{D5CDD505-2E9C-101B-9397-08002B2CF9AE}" pid="115" name="AttachmentConfidentialFlag">
    <vt:lpwstr>False</vt:lpwstr>
  </property>
  <property fmtid="{D5CDD505-2E9C-101B-9397-08002B2CF9AE}" pid="116" name="Purpose">
    <vt:lpwstr> </vt:lpwstr>
  </property>
  <property fmtid="{D5CDD505-2E9C-101B-9397-08002B2CF9AE}" pid="117" name="PurposeWithSoftReturns">
    <vt:lpwstr> </vt:lpwstr>
  </property>
  <property fmtid="{D5CDD505-2E9C-101B-9397-08002B2CF9AE}" pid="118" name="MasterProgramId">
    <vt:lpwstr>8</vt:lpwstr>
  </property>
  <property fmtid="{D5CDD505-2E9C-101B-9397-08002B2CF9AE}" pid="119" name="MasterProgramName">
    <vt:lpwstr>2032</vt:lpwstr>
  </property>
  <property fmtid="{D5CDD505-2E9C-101B-9397-08002B2CF9AE}" pid="120" name="ReportName">
    <vt:lpwstr>0.0 Planning Proposal -  Amendment of Clause 4.4 'Floor Space Ratio' - Campbelltown Local Environment Plan 2015</vt:lpwstr>
  </property>
  <property fmtid="{D5CDD505-2E9C-101B-9397-08002B2CF9AE}" pid="121" name="DAApplicant">
    <vt:lpwstr> </vt:lpwstr>
  </property>
  <property fmtid="{D5CDD505-2E9C-101B-9397-08002B2CF9AE}" pid="122" name="DAOwner">
    <vt:lpwstr> </vt:lpwstr>
  </property>
  <property fmtid="{D5CDD505-2E9C-101B-9397-08002B2CF9AE}" pid="123" name="ForAction">
    <vt:lpwstr>True</vt:lpwstr>
  </property>
  <property fmtid="{D5CDD505-2E9C-101B-9397-08002B2CF9AE}" pid="124" name="ForActionCompletionDate">
    <vt:lpwstr>07 June 2023</vt:lpwstr>
  </property>
  <property fmtid="{D5CDD505-2E9C-101B-9397-08002B2CF9AE}" pid="125" name="MinutedForMayor">
    <vt:lpwstr>False</vt:lpwstr>
  </property>
  <property fmtid="{D5CDD505-2E9C-101B-9397-08002B2CF9AE}" pid="126" name="MinutedForName">
    <vt:lpwstr> </vt:lpwstr>
  </property>
  <property fmtid="{D5CDD505-2E9C-101B-9397-08002B2CF9AE}" pid="127" name="MinutedForTitle">
    <vt:lpwstr> </vt:lpwstr>
  </property>
  <property fmtid="{D5CDD505-2E9C-101B-9397-08002B2CF9AE}" pid="128" name="CouncilId">
    <vt:lpwstr>0</vt:lpwstr>
  </property>
  <property fmtid="{D5CDD505-2E9C-101B-9397-08002B2CF9AE}" pid="129" name="CouncilText">
    <vt:lpwstr> </vt:lpwstr>
  </property>
  <property fmtid="{D5CDD505-2E9C-101B-9397-08002B2CF9AE}" pid="130" name="RelatedReportId">
    <vt:lpwstr>0</vt:lpwstr>
  </property>
  <property fmtid="{D5CDD505-2E9C-101B-9397-08002B2CF9AE}" pid="131" name="DocumentTypeName">
    <vt:lpwstr>Report</vt:lpwstr>
  </property>
  <property fmtid="{D5CDD505-2E9C-101B-9397-08002B2CF9AE}" pid="132" name="TypistInitials">
    <vt:lpwstr>JB</vt:lpwstr>
  </property>
  <property fmtid="{D5CDD505-2E9C-101B-9397-08002B2CF9AE}" pid="133" name="RecommendedMeetingScheduleId">
    <vt:lpwstr>0</vt:lpwstr>
  </property>
  <property fmtid="{D5CDD505-2E9C-101B-9397-08002B2CF9AE}" pid="134" name="RecommendedMeetingDate">
    <vt:lpwstr> </vt:lpwstr>
  </property>
  <property fmtid="{D5CDD505-2E9C-101B-9397-08002B2CF9AE}" pid="135" name="RecommendedCommitteeId">
    <vt:lpwstr>0</vt:lpwstr>
  </property>
  <property fmtid="{D5CDD505-2E9C-101B-9397-08002B2CF9AE}" pid="136" name="RecommendedCommitteeName">
    <vt:lpwstr> </vt:lpwstr>
  </property>
  <property fmtid="{D5CDD505-2E9C-101B-9397-08002B2CF9AE}" pid="137" name="PlanningApplicationDocument">
    <vt:lpwstr> </vt:lpwstr>
  </property>
  <property fmtid="{D5CDD505-2E9C-101B-9397-08002B2CF9AE}" pid="138" name="RecommendationDisabled">
    <vt:lpwstr>False</vt:lpwstr>
  </property>
  <property fmtid="{D5CDD505-2E9C-101B-9397-08002B2CF9AE}" pid="139" name="TemplatesPath">
    <vt:lpwstr>\\prod-cc-info\Infocouncil\Templates</vt:lpwstr>
  </property>
  <property fmtid="{D5CDD505-2E9C-101B-9397-08002B2CF9AE}" pid="140" name="DefaultFont">
    <vt:lpwstr>Arial</vt:lpwstr>
  </property>
  <property fmtid="{D5CDD505-2E9C-101B-9397-08002B2CF9AE}" pid="141" name="ProtectedAgendaSections">
    <vt:lpwstr>1,5</vt:lpwstr>
  </property>
  <property fmtid="{D5CDD505-2E9C-101B-9397-08002B2CF9AE}" pid="142" name="AgendaHasAttachments">
    <vt:lpwstr>True</vt:lpwstr>
  </property>
  <property fmtid="{D5CDD505-2E9C-101B-9397-08002B2CF9AE}" pid="143" name="AgendaHasSigBlock">
    <vt:lpwstr>False</vt:lpwstr>
  </property>
  <property fmtid="{D5CDD505-2E9C-101B-9397-08002B2CF9AE}" pid="144" name="RecommendationAgendaSectionNo">
    <vt:lpwstr>3</vt:lpwstr>
  </property>
  <property fmtid="{D5CDD505-2E9C-101B-9397-08002B2CF9AE}" pid="145" name="SummaryAgendaSectionNo">
    <vt:lpwstr>0</vt:lpwstr>
  </property>
  <property fmtid="{D5CDD505-2E9C-101B-9397-08002B2CF9AE}" pid="146" name="ReferenceCommitteeRequired">
    <vt:lpwstr>False</vt:lpwstr>
  </property>
  <property fmtid="{D5CDD505-2E9C-101B-9397-08002B2CF9AE}" pid="147" name="SignificanceText">
    <vt:lpwstr> </vt:lpwstr>
  </property>
  <property fmtid="{D5CDD505-2E9C-101B-9397-08002B2CF9AE}" pid="148" name="CloudEditable">
    <vt:lpwstr>False</vt:lpwstr>
  </property>
  <property fmtid="{D5CDD505-2E9C-101B-9397-08002B2CF9AE}" pid="149" name="CreatedOnline">
    <vt:lpwstr>False</vt:lpwstr>
  </property>
  <property fmtid="{D5CDD505-2E9C-101B-9397-08002B2CF9AE}" pid="150" name="SummarySection">
    <vt:lpwstr>0</vt:lpwstr>
  </property>
  <property fmtid="{D5CDD505-2E9C-101B-9397-08002B2CF9AE}" pid="151" name="OrigSectionCount">
    <vt:lpwstr>1</vt:lpwstr>
  </property>
  <property fmtid="{D5CDD505-2E9C-101B-9397-08002B2CF9AE}" pid="152" name="OrigRecommendationLength">
    <vt:lpwstr>0</vt:lpwstr>
  </property>
  <property fmtid="{D5CDD505-2E9C-101B-9397-08002B2CF9AE}" pid="153" name="CouncillorName">
    <vt:lpwstr>Councillor Jeff Burton has</vt:lpwstr>
  </property>
  <property fmtid="{D5CDD505-2E9C-101B-9397-08002B2CF9AE}" pid="154" name="ForceRevision">
    <vt:lpwstr>False</vt:lpwstr>
  </property>
  <property fmtid="{D5CDD505-2E9C-101B-9397-08002B2CF9AE}" pid="155" name="UpdateItemNo">
    <vt:lpwstr>False</vt:lpwstr>
  </property>
  <property fmtid="{D5CDD505-2E9C-101B-9397-08002B2CF9AE}" pid="156" name="SortOrder">
    <vt:lpwstr>26</vt:lpwstr>
  </property>
  <property fmtid="{D5CDD505-2E9C-101B-9397-08002B2CF9AE}" pid="157" name="OrderNumber">
    <vt:lpwstr>1</vt:lpwstr>
  </property>
  <property fmtid="{D5CDD505-2E9C-101B-9397-08002B2CF9AE}" pid="158" name="ClosedStatusChanged">
    <vt:lpwstr>False</vt:lpwstr>
  </property>
  <property fmtid="{D5CDD505-2E9C-101B-9397-08002B2CF9AE}" pid="159" name="ItemNumber">
    <vt:lpwstr> </vt:lpwstr>
  </property>
  <property fmtid="{D5CDD505-2E9C-101B-9397-08002B2CF9AE}" pid="160" name="AgendaItemDocument">
    <vt:lpwstr> </vt:lpwstr>
  </property>
  <property fmtid="{D5CDD505-2E9C-101B-9397-08002B2CF9AE}" pid="161" name="AttachmentsSummary">
    <vt:lpwstr>1. Proposed Floor Space Ratio</vt:lpwstr>
  </property>
</Properties>
</file>